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6"/>
          <w:szCs w:val="16"/>
          <w:b w:val="1"/>
          <w:bCs w:val="1"/>
          <w:color w:val="auto"/>
        </w:rPr>
        <w:t>Filed Pursuant to Rule 424(b)(3)</w:t>
      </w:r>
    </w:p>
    <w:p>
      <w:pPr>
        <w:spacing w:after="0" w:line="2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333-275229</w:t>
      </w:r>
    </w:p>
    <w:p>
      <w:pPr>
        <w:spacing w:after="0" w:line="18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PROSPECTUS SUPPLEMENT</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 Prospectus dated November 7,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2812415</wp:posOffset>
            </wp:positionH>
            <wp:positionV relativeFrom="paragraph">
              <wp:posOffset>247015</wp:posOffset>
            </wp:positionV>
            <wp:extent cx="1517650" cy="4171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17650" cy="4171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Alpha Compute Corp</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481,581 Ordinary Shares underlying Warrants</w:t>
      </w:r>
    </w:p>
    <w:p>
      <w:pPr>
        <w:spacing w:after="0" w:line="200" w:lineRule="exact"/>
        <w:rPr>
          <w:sz w:val="24"/>
          <w:szCs w:val="24"/>
          <w:color w:val="auto"/>
        </w:rPr>
      </w:pPr>
    </w:p>
    <w:p>
      <w:pPr>
        <w:jc w:val="both"/>
        <w:ind w:firstLine="206"/>
        <w:spacing w:after="0" w:line="259" w:lineRule="auto"/>
        <w:rPr>
          <w:sz w:val="20"/>
          <w:szCs w:val="20"/>
          <w:color w:val="auto"/>
        </w:rPr>
      </w:pPr>
      <w:r>
        <w:rPr>
          <w:rFonts w:ascii="Times New Roman" w:cs="Times New Roman" w:eastAsia="Times New Roman" w:hAnsi="Times New Roman"/>
          <w:sz w:val="16"/>
          <w:szCs w:val="16"/>
          <w:color w:val="auto"/>
        </w:rPr>
        <w:t>This prospectus supplement is being filed to update and supplement the information contained in the prospectus dated November 7, 2023 (the “Prospectus”), which forms a part of our Registration Statement on Form F-1 (Registration No. 333-275229), as amended most recently by the post-effective amendment filed on August 23, 2024, with the information contained in our current report on Form 6-K, furnished to the Securities and Exchange Commission on April 20, 2026 (the “April 20, 2026 Form 6-K”). Accordingly, we have attached the April 20, 2026 Form 6-K to this prospectus supplement.</w:t>
      </w:r>
    </w:p>
    <w:p>
      <w:pPr>
        <w:spacing w:after="0" w:line="162" w:lineRule="exact"/>
        <w:rPr>
          <w:sz w:val="24"/>
          <w:szCs w:val="24"/>
          <w:color w:val="auto"/>
        </w:rPr>
      </w:pPr>
    </w:p>
    <w:p>
      <w:pPr>
        <w:jc w:val="both"/>
        <w:ind w:right="20" w:firstLine="206"/>
        <w:spacing w:after="0" w:line="265" w:lineRule="auto"/>
        <w:rPr>
          <w:sz w:val="20"/>
          <w:szCs w:val="20"/>
          <w:color w:val="auto"/>
        </w:rPr>
      </w:pPr>
      <w:r>
        <w:rPr>
          <w:rFonts w:ascii="Times New Roman" w:cs="Times New Roman" w:eastAsia="Times New Roman" w:hAnsi="Times New Roman"/>
          <w:sz w:val="16"/>
          <w:szCs w:val="16"/>
          <w:color w:val="auto"/>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w:t>
      </w:r>
    </w:p>
    <w:p>
      <w:pPr>
        <w:spacing w:after="0" w:line="155" w:lineRule="exact"/>
        <w:rPr>
          <w:sz w:val="24"/>
          <w:szCs w:val="24"/>
          <w:color w:val="auto"/>
        </w:rPr>
      </w:pPr>
    </w:p>
    <w:p>
      <w:pPr>
        <w:ind w:right="60"/>
        <w:spacing w:after="0" w:line="280" w:lineRule="auto"/>
        <w:rPr>
          <w:sz w:val="20"/>
          <w:szCs w:val="20"/>
          <w:color w:val="auto"/>
        </w:rPr>
      </w:pPr>
      <w:r>
        <w:rPr>
          <w:rFonts w:ascii="Times New Roman" w:cs="Times New Roman" w:eastAsia="Times New Roman" w:hAnsi="Times New Roman"/>
          <w:sz w:val="16"/>
          <w:szCs w:val="16"/>
          <w:color w:val="auto"/>
        </w:rPr>
        <w:t>Our Ordinary Shares are listed on The Nasdaq Capital Market (“Nasdaq”) under the symbol “ALP”. On May 21, 2026, the closing sale price of our Ordinary Shares as reported on Nasdaq was $0.3852.</w:t>
      </w:r>
    </w:p>
    <w:p>
      <w:pPr>
        <w:spacing w:after="0" w:line="144"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6"/>
          <w:szCs w:val="16"/>
          <w:color w:val="auto"/>
        </w:rPr>
        <w:t>__________________________________</w:t>
      </w:r>
    </w:p>
    <w:p>
      <w:pPr>
        <w:spacing w:after="0" w:line="200" w:lineRule="exact"/>
        <w:rPr>
          <w:sz w:val="24"/>
          <w:szCs w:val="24"/>
          <w:color w:val="auto"/>
        </w:rPr>
      </w:pPr>
    </w:p>
    <w:p>
      <w:pPr>
        <w:spacing w:after="0" w:line="212" w:lineRule="exact"/>
        <w:rPr>
          <w:sz w:val="24"/>
          <w:szCs w:val="24"/>
          <w:color w:val="auto"/>
        </w:rPr>
      </w:pPr>
    </w:p>
    <w:p>
      <w:pPr>
        <w:ind w:right="140" w:firstLine="206"/>
        <w:spacing w:after="0" w:line="266" w:lineRule="auto"/>
        <w:rPr>
          <w:sz w:val="20"/>
          <w:szCs w:val="20"/>
          <w:color w:val="auto"/>
        </w:rPr>
      </w:pPr>
      <w:r>
        <w:rPr>
          <w:rFonts w:ascii="Times New Roman" w:cs="Times New Roman" w:eastAsia="Times New Roman" w:hAnsi="Times New Roman"/>
          <w:sz w:val="16"/>
          <w:szCs w:val="16"/>
          <w:b w:val="1"/>
          <w:bCs w:val="1"/>
          <w:color w:val="auto"/>
        </w:rPr>
        <w:t>Investing in the securities offered in the Prospectus involves a high degree of risk. Before making any investment in these securities, you should consider carefully the risks and uncertainties in the section entitled “Risk Factors” beginning on page 9 of the Prospectus, and in the other documents that are incorporated by reference into the Prospectus.</w:t>
      </w:r>
    </w:p>
    <w:p>
      <w:pPr>
        <w:spacing w:after="0" w:line="153" w:lineRule="exact"/>
        <w:rPr>
          <w:sz w:val="24"/>
          <w:szCs w:val="24"/>
          <w:color w:val="auto"/>
        </w:rPr>
      </w:pPr>
    </w:p>
    <w:p>
      <w:pPr>
        <w:ind w:right="520" w:firstLine="206"/>
        <w:spacing w:after="0" w:line="318" w:lineRule="auto"/>
        <w:rPr>
          <w:sz w:val="20"/>
          <w:szCs w:val="20"/>
          <w:color w:val="auto"/>
        </w:rPr>
      </w:pPr>
      <w:r>
        <w:rPr>
          <w:rFonts w:ascii="Times New Roman" w:cs="Times New Roman" w:eastAsia="Times New Roman" w:hAnsi="Times New Roman"/>
          <w:sz w:val="15"/>
          <w:szCs w:val="15"/>
          <w:b w:val="1"/>
          <w:bCs w:val="1"/>
          <w:color w:val="auto"/>
        </w:rPr>
        <w:t>Neither the Securities and Exchange Commission nor any state or non-U.S. regulatory body has approved or disapproved of the securities offered in the Prospectus or passed upon the accuracy or adequacy of the Prospectus or this prospectus supplement. Any representation to the contrary is a criminal offense.</w:t>
      </w:r>
    </w:p>
    <w:p>
      <w:pPr>
        <w:spacing w:after="0" w:line="118"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6"/>
          <w:szCs w:val="16"/>
          <w:color w:val="auto"/>
        </w:rPr>
        <w:t>__________________________________</w:t>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date of this prospectus supplement is May 22,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335280</wp:posOffset>
            </wp:positionV>
            <wp:extent cx="714819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38100"/>
                    </a:xfrm>
                    <a:prstGeom prst="rect">
                      <a:avLst/>
                    </a:prstGeom>
                    <a:noFill/>
                  </pic:spPr>
                </pic:pic>
              </a:graphicData>
            </a:graphic>
          </wp:anchor>
        </w:drawing>
      </w:r>
    </w:p>
    <w:p>
      <w:pPr>
        <w:sectPr>
          <w:pgSz w:w="11900" w:h="16838" w:orient="portrait"/>
          <w:cols w:equalWidth="0" w:num="1">
            <w:col w:w="11260"/>
          </w:cols>
          <w:pgMar w:left="320" w:top="408" w:right="319" w:bottom="1440" w:gutter="0" w:footer="0" w:header="0"/>
        </w:sectPr>
      </w:pPr>
    </w:p>
    <w:bookmarkStart w:id="1" w:name="page2"/>
    <w:bookmarkEnd w:id="1"/>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8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FORM 6-K</w:t>
      </w:r>
    </w:p>
    <w:p>
      <w:pPr>
        <w:spacing w:after="0" w:line="19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REPORT OF FOREIGN PRIVATE ISSUER PURSUANT TO RULE 13a-16 OR 15d-16</w:t>
      </w:r>
    </w:p>
    <w:p>
      <w:pPr>
        <w:spacing w:after="0" w:line="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UNDER THE SECURITIES EXCHANGE ACT OF 1934</w:t>
      </w:r>
    </w:p>
    <w:p>
      <w:pPr>
        <w:spacing w:after="0" w:line="18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For the month of April, 2026</w:t>
      </w:r>
    </w:p>
    <w:p>
      <w:pPr>
        <w:spacing w:after="0" w:line="19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 xml:space="preserve">Commission File Number: </w:t>
      </w:r>
      <w:r>
        <w:rPr>
          <w:rFonts w:ascii="Times New Roman" w:cs="Times New Roman" w:eastAsia="Times New Roman" w:hAnsi="Times New Roman"/>
          <w:sz w:val="16"/>
          <w:szCs w:val="16"/>
          <w:b w:val="1"/>
          <w:bCs w:val="1"/>
          <w:color w:val="auto"/>
        </w:rPr>
        <w:t>001-40086</w:t>
      </w:r>
    </w:p>
    <w:p>
      <w:pPr>
        <w:spacing w:after="0" w:line="19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AlphaTON Capital Corp</w:t>
      </w:r>
    </w:p>
    <w:p>
      <w:pPr>
        <w:spacing w:after="0" w:line="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(Translation of registrant’s name into English)</w:t>
      </w:r>
    </w:p>
    <w:p>
      <w:pPr>
        <w:spacing w:after="0" w:line="18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Clarence Thomas Building, P.O. Box 4649, Road Town, Tortola, British Virgin Islands, VG1110</w:t>
      </w:r>
    </w:p>
    <w:p>
      <w:pPr>
        <w:spacing w:after="0" w:line="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(Address of principal executive office)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files or will file annual reports under cover of Form 20-F or Form 40-F.</w:t>
      </w:r>
    </w:p>
    <w:p>
      <w:pPr>
        <w:spacing w:after="0" w:line="198" w:lineRule="exact"/>
        <w:rPr>
          <w:sz w:val="20"/>
          <w:szCs w:val="20"/>
          <w:color w:val="auto"/>
        </w:rPr>
      </w:pPr>
    </w:p>
    <w:p>
      <w:pPr>
        <w:spacing w:after="0"/>
        <w:tabs>
          <w:tab w:leader="none" w:pos="3360" w:val="left"/>
        </w:tabs>
        <w:rPr>
          <w:sz w:val="20"/>
          <w:szCs w:val="20"/>
          <w:color w:val="auto"/>
        </w:rPr>
      </w:pPr>
      <w:r>
        <w:rPr>
          <w:rFonts w:ascii="Times New Roman" w:cs="Times New Roman" w:eastAsia="Times New Roman" w:hAnsi="Times New Roman"/>
          <w:sz w:val="16"/>
          <w:szCs w:val="16"/>
          <w:color w:val="auto"/>
        </w:rPr>
        <w:t>Form 20-F [ X ]</w:t>
      </w:r>
      <w:r>
        <w:rPr>
          <w:sz w:val="20"/>
          <w:szCs w:val="20"/>
          <w:color w:val="auto"/>
        </w:rPr>
        <w:tab/>
      </w:r>
      <w:r>
        <w:rPr>
          <w:rFonts w:ascii="Times New Roman" w:cs="Times New Roman" w:eastAsia="Times New Roman" w:hAnsi="Times New Roman"/>
          <w:sz w:val="15"/>
          <w:szCs w:val="15"/>
          <w:color w:val="auto"/>
        </w:rPr>
        <w:t>Form 40-F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167005</wp:posOffset>
            </wp:positionV>
            <wp:extent cx="7148195" cy="15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INCORPORATION BY REFERENCE</w:t>
      </w:r>
    </w:p>
    <w:p>
      <w:pPr>
        <w:spacing w:after="0" w:line="2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This report on Form 6-K (including any exhibits attached hereto) shall be deemed to be incorporated by reference into the registration statements on Form S-8 (File Nos. 333-275842 and 333-289199) and Form F-3 (File Nos. 333-286961, 333-290827, 333-291341 and 333-291921) of AlphaTON Capital Corp (including any prospectuses forming a part of such registration statements) and to be a part thereof from the date on which this report is filed,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148195"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6"/>
          <w:szCs w:val="16"/>
          <w:color w:val="auto"/>
        </w:rPr>
        <w:t>On April 14, 2026, pursuant to prior approvals by our board of directors, we filed a Certificate of Change of Name and Amendment to our Memorandum and Articles of Association. The documents changed our corporate name from AlphaTON Capital Corp to Alpha Compute Corp to better reflect the nature of our expanded current business operations in compute and AI infrastructure.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April 21, 2026, our shares of common stock will begin trading under the new symbol ALP on the Nasdaq Capital Market.</w:t>
      </w:r>
    </w:p>
    <w:p>
      <w:pPr>
        <w:spacing w:after="0" w:line="198"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6"/>
          <w:szCs w:val="16"/>
          <w:color w:val="auto"/>
        </w:rPr>
        <w:t xml:space="preserve">The Certificate of Change of Name and Amendment to our Memorandum and Articles of Association are filed as </w:t>
      </w:r>
      <w:r>
        <w:rPr>
          <w:rFonts w:ascii="Times New Roman" w:cs="Times New Roman" w:eastAsia="Times New Roman" w:hAnsi="Times New Roman"/>
          <w:sz w:val="16"/>
          <w:szCs w:val="16"/>
          <w:u w:val="single" w:color="auto"/>
          <w:color w:val="0000EE"/>
        </w:rPr>
        <w:t>Exhibit 99.1</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0000EE"/>
        </w:rPr>
        <w:t>Exhibit 99.2</w:t>
      </w:r>
      <w:r>
        <w:rPr>
          <w:rFonts w:ascii="Times New Roman" w:cs="Times New Roman" w:eastAsia="Times New Roman" w:hAnsi="Times New Roman"/>
          <w:sz w:val="16"/>
          <w:szCs w:val="16"/>
          <w:color w:val="auto"/>
        </w:rPr>
        <w:t xml:space="preserve"> to this current report and are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306705</wp:posOffset>
            </wp:positionV>
            <wp:extent cx="7148195"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38100"/>
                    </a:xfrm>
                    <a:prstGeom prst="rect">
                      <a:avLst/>
                    </a:prstGeom>
                    <a:noFill/>
                  </pic:spPr>
                </pic:pic>
              </a:graphicData>
            </a:graphic>
          </wp:anchor>
        </w:drawing>
      </w:r>
    </w:p>
    <w:p>
      <w:pPr>
        <w:sectPr>
          <w:pgSz w:w="11900" w:h="16838" w:orient="portrait"/>
          <w:cols w:equalWidth="0" w:num="1">
            <w:col w:w="11120"/>
          </w:cols>
          <w:pgMar w:left="320" w:top="718" w:right="4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392" w:lineRule="exact"/>
        <w:rPr>
          <w:sz w:val="20"/>
          <w:szCs w:val="20"/>
          <w:color w:val="auto"/>
        </w:rPr>
      </w:pPr>
    </w:p>
    <w:p>
      <w:pPr>
        <w:ind w:right="340"/>
        <w:spacing w:after="0" w:line="280"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April 20, 2026</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ALPHATON CAPITAL CORP</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8"/>
              </w:rPr>
              <w:t>/s/ Brittany Kaiser</w:t>
            </w:r>
          </w:p>
        </w:tc>
        <w:tc>
          <w:tcPr>
            <w:tcW w:w="9180" w:type="dxa"/>
            <w:vAlign w:val="bottom"/>
          </w:tcPr>
          <w:p>
            <w:pPr>
              <w:spacing w:after="0"/>
              <w:rPr>
                <w:sz w:val="16"/>
                <w:szCs w:val="16"/>
                <w:color w:val="auto"/>
              </w:rPr>
            </w:pPr>
          </w:p>
        </w:tc>
      </w:tr>
      <w:tr>
        <w:trPr>
          <w:trHeight w:val="191"/>
        </w:trPr>
        <w:tc>
          <w:tcPr>
            <w:tcW w:w="900" w:type="dxa"/>
            <w:vAlign w:val="bottom"/>
          </w:tcPr>
          <w:p>
            <w:pPr>
              <w:spacing w:after="0"/>
              <w:rPr>
                <w:sz w:val="16"/>
                <w:szCs w:val="16"/>
                <w:color w:val="auto"/>
              </w:rPr>
            </w:pPr>
          </w:p>
        </w:tc>
        <w:tc>
          <w:tcPr>
            <w:tcW w:w="10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Brittany Kaiser</w:t>
            </w:r>
          </w:p>
        </w:tc>
      </w:tr>
      <w:tr>
        <w:trPr>
          <w:trHeight w:val="208"/>
        </w:trPr>
        <w:tc>
          <w:tcPr>
            <w:tcW w:w="900" w:type="dxa"/>
            <w:vAlign w:val="bottom"/>
          </w:tcPr>
          <w:p>
            <w:pPr>
              <w:spacing w:after="0"/>
              <w:rPr>
                <w:sz w:val="18"/>
                <w:szCs w:val="18"/>
                <w:color w:val="auto"/>
              </w:rPr>
            </w:pPr>
          </w:p>
        </w:tc>
        <w:tc>
          <w:tcPr>
            <w:tcW w:w="10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Chief Executive Officer</w:t>
            </w:r>
          </w:p>
        </w:tc>
      </w:tr>
      <w:tr>
        <w:trPr>
          <w:trHeight w:val="3409"/>
        </w:trPr>
        <w:tc>
          <w:tcPr>
            <w:tcW w:w="9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9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718" w:right="319" w:bottom="1440" w:gutter="0" w:footer="0" w:header="0"/>
        </w:sectPr>
      </w:pPr>
    </w:p>
    <w:bookmarkStart w:id="3" w:name="page4"/>
    <w:bookmarkEnd w:id="3"/>
    <w:p>
      <w:pPr>
        <w:ind w:left="9140"/>
        <w:spacing w:after="0"/>
        <w:rPr>
          <w:sz w:val="20"/>
          <w:szCs w:val="20"/>
          <w:color w:val="auto"/>
        </w:rPr>
      </w:pPr>
      <w:r>
        <w:rPr>
          <w:rFonts w:ascii="Times New Roman" w:cs="Times New Roman" w:eastAsia="Times New Roman" w:hAnsi="Times New Roman"/>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151765</wp:posOffset>
            </wp:positionV>
            <wp:extent cx="7203440" cy="57137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5713730"/>
                    </a:xfrm>
                    <a:prstGeom prst="rect">
                      <a:avLst/>
                    </a:prstGeom>
                    <a:noFill/>
                  </pic:spPr>
                </pic:pic>
              </a:graphicData>
            </a:graphic>
          </wp:anchor>
        </w:drawing>
      </w:r>
    </w:p>
    <w:p>
      <w:pPr>
        <w:sectPr>
          <w:pgSz w:w="11900" w:h="16838" w:orient="portrait"/>
          <w:cols w:equalWidth="0" w:num="1">
            <w:col w:w="10140"/>
          </w:cols>
          <w:pgMar w:left="1440" w:top="519" w:right="319" w:bottom="1440" w:gutter="0" w:footer="0" w:header="0"/>
        </w:sectPr>
      </w:pPr>
    </w:p>
    <w:bookmarkStart w:id="4" w:name="page5"/>
    <w:bookmarkEnd w:id="4"/>
    <w:p>
      <w:pPr>
        <w:ind w:left="9140"/>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151765</wp:posOffset>
            </wp:positionV>
            <wp:extent cx="7148195" cy="7534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8195" cy="7534910"/>
                    </a:xfrm>
                    <a:prstGeom prst="rect">
                      <a:avLst/>
                    </a:prstGeom>
                    <a:noFill/>
                  </pic:spPr>
                </pic:pic>
              </a:graphicData>
            </a:graphic>
          </wp:anchor>
        </w:drawing>
      </w:r>
    </w:p>
    <w:p>
      <w:pPr>
        <w:sectPr>
          <w:pgSz w:w="11900" w:h="16838" w:orient="portrait"/>
          <w:cols w:equalWidth="0" w:num="1">
            <w:col w:w="10140"/>
          </w:cols>
          <w:pgMar w:left="1440" w:top="519" w:right="31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148195" cy="7534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8195" cy="7534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148195" cy="7534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8195" cy="7534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148195" cy="7534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8195" cy="7534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148195" cy="7534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8195" cy="7534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148195" cy="7534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8195" cy="7534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148195" cy="7534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8195" cy="7534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148195" cy="7534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8195" cy="7534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148195" cy="75425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8195" cy="7542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148195" cy="7534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8195" cy="7534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148195" cy="7534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8195" cy="7534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148195" cy="75425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8195" cy="7542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148195" cy="75425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8195" cy="7542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148195" cy="75425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8195" cy="7542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148195" cy="75425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8195" cy="7542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148195" cy="75425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8195" cy="7542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148195" cy="75425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8195" cy="7542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148195" cy="75425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8195" cy="7542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148195" cy="75425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8195" cy="7542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148195" cy="75425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8195" cy="7542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148195" cy="75425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8195" cy="7542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148195" cy="7534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8195" cy="7534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148195" cy="7534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8195" cy="7534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148195" cy="75425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8195" cy="7542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148195" cy="75425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8195" cy="7542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148195" cy="75425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8195" cy="7542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148195" cy="75425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8195" cy="7542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148195" cy="75425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8195" cy="7542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148195" cy="7534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8195" cy="7534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148195" cy="75425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8195" cy="7542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148195" cy="7534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8195" cy="7534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148195" cy="75425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8195" cy="7542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148195" cy="75425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8195" cy="7542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148195" cy="75425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8195" cy="7542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148195" cy="75425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8195" cy="7542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148195" cy="75425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8195" cy="7542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148195" cy="7534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8195" cy="7534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959485</wp:posOffset>
            </wp:positionH>
            <wp:positionV relativeFrom="page">
              <wp:posOffset>346710</wp:posOffset>
            </wp:positionV>
            <wp:extent cx="5638165" cy="72923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5638165" cy="72923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2026-05-22T15:16:21Z</dcterms:created>
  <dcterms:modified xsi:type="dcterms:W3CDTF">2026-05-22T15:16:21Z</dcterms:modified>
</cp:coreProperties>
</file>