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Terpin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AlphaTON Capital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ATON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ALPHATON CAPITAL CORP</w:t>
      </w:r>
    </w:p>
    <w:p>
      <w:pPr>
        <w:spacing w:after="0" w:line="70"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CLARENCE THOMAS BUILDING, P.O. BOX 4649</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ROAD</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D8</w:t>
            </w:r>
          </w:p>
        </w:tc>
        <w:tc>
          <w:tcPr>
            <w:tcW w:w="10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w w:val="89"/>
              </w:rPr>
              <w:t>VG1110</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TOWN</w:t>
            </w:r>
          </w:p>
        </w:tc>
        <w:tc>
          <w:tcPr>
            <w:tcW w:w="8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Michael Terpin</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04/08/2026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 xml:space="preserve">Know all by these presents, that the undersigned hereby constitutes and appoints each of </w:t>
      </w:r>
      <w:r>
        <w:rPr>
          <w:rFonts w:ascii="Times New Roman" w:cs="Times New Roman" w:eastAsia="Times New Roman" w:hAnsi="Times New Roman"/>
          <w:sz w:val="20"/>
          <w:szCs w:val="20"/>
          <w:u w:val="single" w:color="auto"/>
          <w:color w:val="auto"/>
        </w:rPr>
        <w:t>Enzo Villani, Brittany Kaiser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Wes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Levitt</w:t>
      </w:r>
      <w:r>
        <w:rPr>
          <w:rFonts w:ascii="Times New Roman" w:cs="Times New Roman" w:eastAsia="Times New Roman" w:hAnsi="Times New Roman"/>
          <w:sz w:val="20"/>
          <w:szCs w:val="20"/>
          <w:color w:val="auto"/>
        </w:rPr>
        <w:t xml:space="preserve"> his true and lawful attorney-in-fact to:</w:t>
      </w:r>
    </w:p>
    <w:p>
      <w:pPr>
        <w:spacing w:after="0" w:line="180" w:lineRule="exact"/>
        <w:rPr>
          <w:sz w:val="20"/>
          <w:szCs w:val="20"/>
          <w:color w:val="auto"/>
        </w:rPr>
      </w:pPr>
    </w:p>
    <w:p>
      <w:pPr>
        <w:jc w:val="both"/>
        <w:ind w:left="144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 Schedules 13D and 13G, Form ID, and Forms 3, 4 and 5 in accordance with Sections 13 and 16(a) of the Securities Exchange Act of 1934, as amended (the “Exchange Act”), and the rules thereunder, and (ii) Form 144 in accordance with Rule 144 of the Securities Act of 1933, as amended (the “Securities Act”), and the rules thereunder;</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the execution of any such Schedules 13D or 13G, Form ID application for EDGAR codes, and Forms 3, 4, 5 or 144, and the timely filing of such Forms with the United States Securities and Exchange Commission and any other authority; and</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5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including, without limitation, the execution and filing of a Form 4 with respect to a transaction which may be reported on a Form 5,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0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all and every act and thing whatsoever requisite, necessary and proper to be done in the exercise of any of the rights and powers herein granted, as fully and to all intents and purposes as he might or could do in person, with full power of substitution and resubstitution, hereby ratifying and confirming all that such attorney-in-fact, or its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any of the undersigned’s responsibilities to comply with Sections 13 and 16 of the Exchange Act and Rule 144 of the Securities Act.</w:t>
      </w:r>
    </w:p>
    <w:p>
      <w:pPr>
        <w:spacing w:after="0" w:line="21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Schedules 13D and 13G and Forms 3, 4 and 5 in accordance with Sections 13 and 16(a) of the Exchange Act and the rules thereunder and any Form 144 in accordance with Rule 144 of the Securities Act and the rules thereunder with respect to the undersigned’s holdings of and transactions in securities issued by AlphaTON Capital Corp, unless earlier revoked by the undersigned in a signed writing delivered to the foregoing attorneys-in-fact.</w:t>
      </w:r>
    </w:p>
    <w:p>
      <w:pPr>
        <w:spacing w:after="0" w:line="205"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hereby revokes any other powers of attorney previously executed by the undersigned with respect to the execution and filing of any Schedules 13D and 13G, Form ID and Forms 3, 4 and 5 in accordance with Sections 13 and 16(a) of the Exchange Act and the rules thereunder and any Form 144 in accordance with Rule 144 of the Securities Act and the rules thereunder with respect to the undersigned’s holdings of and transactions in securities issued by AlphaTON Capital Corp.</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8th day of April 2026.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00"/>
        <w:spacing w:after="0"/>
        <w:tabs>
          <w:tab w:leader="none" w:pos="6120" w:val="left"/>
        </w:tabs>
        <w:rPr>
          <w:sz w:val="20"/>
          <w:szCs w:val="20"/>
          <w:color w:val="auto"/>
        </w:rPr>
      </w:pPr>
      <w:r>
        <w:rPr>
          <w:rFonts w:ascii="Times New Roman" w:cs="Times New Roman" w:eastAsia="Times New Roman" w:hAnsi="Times New Roman"/>
          <w:sz w:val="20"/>
          <w:szCs w:val="20"/>
          <w:color w:val="auto"/>
        </w:rPr>
        <w:t>By:</w:t>
        <w:tab/>
        <w:t>/s/ Michael Terpin</w:t>
      </w:r>
    </w:p>
    <w:p>
      <w:pPr>
        <w:spacing w:after="0" w:line="30" w:lineRule="exact"/>
        <w:rPr>
          <w:sz w:val="20"/>
          <w:szCs w:val="20"/>
          <w:color w:val="auto"/>
        </w:rPr>
      </w:pPr>
    </w:p>
    <w:p>
      <w:pPr>
        <w:ind w:left="6140"/>
        <w:spacing w:after="0"/>
        <w:tabs>
          <w:tab w:leader="none" w:pos="71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Michael Terpin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-145415</wp:posOffset>
            </wp:positionV>
            <wp:extent cx="30492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49270" cy="9525"/>
                    </a:xfrm>
                    <a:prstGeom prst="rect">
                      <a:avLst/>
                    </a:prstGeom>
                    <a:noFill/>
                  </pic:spPr>
                </pic:pic>
              </a:graphicData>
            </a:graphic>
          </wp:anchor>
        </w:drawing>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90534" TargetMode="External"/><Relationship Id="rId11" Type="http://schemas.openxmlformats.org/officeDocument/2006/relationships/hyperlink" Target="http://www.sec.gov/cgi-bin/browse-edgar?action=getcompany&amp;CIK=0001095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2026-04-09T08:09:33Z</dcterms:created>
  <dcterms:modified xsi:type="dcterms:W3CDTF">2026-04-09T08:09:33Z</dcterms:modified>
</cp:coreProperties>
</file>