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424b3_012826.htm"/>
      <w:bookmarkStart w:id="1" w:name="ksf424b3_012826"/>
      <w:bookmarkEnd w:id="0"/>
      <w:bookmarkEnd w:id="1"/>
      <w:r>
        <w:rPr/>
        <w:t> </w:t>
      </w:r>
    </w:p>
    <w:p>
      <w:pPr>
        <w:pStyle w:val="TextBody"/>
        <w:bidi w:val="0"/>
        <w:spacing w:before="0" w:after="0"/>
        <w:ind w:left="0" w:right="0" w:hanging="228"/>
        <w:jc w:val="right"/>
        <w:rPr>
          <w:b/>
          <w:sz w:val="20"/>
        </w:rPr>
      </w:pPr>
      <w:r>
        <w:rPr>
          <w:b/>
          <w:sz w:val="20"/>
        </w:rPr>
        <w:t>Filed Pursuant to Rule 424(b)(3)</w:t>
      </w:r>
    </w:p>
    <w:p>
      <w:pPr>
        <w:pStyle w:val="TextBody"/>
        <w:bidi w:val="0"/>
        <w:spacing w:before="0" w:after="0"/>
        <w:ind w:left="0" w:right="0" w:hanging="228"/>
        <w:jc w:val="right"/>
        <w:rPr>
          <w:b/>
          <w:sz w:val="20"/>
        </w:rPr>
      </w:pPr>
      <w:r>
        <w:rPr>
          <w:b/>
          <w:sz w:val="20"/>
        </w:rPr>
        <w:t>Registration No. 333-275229</w:t>
      </w:r>
    </w:p>
    <w:p>
      <w:pPr>
        <w:pStyle w:val="TextBody"/>
        <w:bidi w:val="0"/>
        <w:spacing w:before="0" w:after="0"/>
        <w:jc w:val="left"/>
        <w:rPr/>
      </w:pPr>
      <w:r>
        <w:rPr/>
        <w:t> </w:t>
      </w:r>
    </w:p>
    <w:p>
      <w:pPr>
        <w:pStyle w:val="TextBody"/>
        <w:bidi w:val="0"/>
        <w:spacing w:before="0" w:after="0"/>
        <w:jc w:val="left"/>
        <w:rPr>
          <w:b/>
          <w:sz w:val="20"/>
        </w:rPr>
      </w:pPr>
      <w:r>
        <w:rPr>
          <w:b/>
          <w:sz w:val="20"/>
        </w:rPr>
        <w:t>PROSPECTUS SUPPLEMENT</w:t>
      </w:r>
    </w:p>
    <w:p>
      <w:pPr>
        <w:pStyle w:val="TextBody"/>
        <w:bidi w:val="0"/>
        <w:spacing w:before="0" w:after="0"/>
        <w:jc w:val="left"/>
        <w:rPr>
          <w:b/>
          <w:sz w:val="20"/>
        </w:rPr>
      </w:pPr>
      <w:r>
        <w:rPr>
          <w:b/>
          <w:sz w:val="20"/>
        </w:rPr>
        <w:t>(to Prospectus dated November 7, 2023)</w:t>
      </w:r>
    </w:p>
    <w:p>
      <w:pPr>
        <w:pStyle w:val="TextBody"/>
        <w:bidi w:val="0"/>
        <w:spacing w:before="0" w:after="0"/>
        <w:jc w:val="left"/>
        <w:rPr/>
      </w:pPr>
      <w:r>
        <w:rPr/>
        <w:t> </w:t>
      </w:r>
    </w:p>
    <w:p>
      <w:pPr>
        <w:pStyle w:val="TextBody"/>
        <w:bidi w:val="0"/>
        <w:spacing w:before="0" w:after="0"/>
        <w:jc w:val="center"/>
        <w:rPr/>
      </w:pPr>
      <w:r>
        <w:rPr/>
        <w:drawing>
          <wp:inline distT="0" distB="0" distL="0" distR="0">
            <wp:extent cx="1238250" cy="247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8250" cy="247650"/>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b/>
          <w:sz w:val="20"/>
        </w:rPr>
      </w:pPr>
      <w:r>
        <w:rPr>
          <w:b/>
          <w:sz w:val="20"/>
        </w:rPr>
        <w:t>AlphaTON Capital Corp</w:t>
      </w:r>
    </w:p>
    <w:p>
      <w:pPr>
        <w:pStyle w:val="TextBody"/>
        <w:bidi w:val="0"/>
        <w:spacing w:before="0" w:after="0"/>
        <w:jc w:val="left"/>
        <w:rPr/>
      </w:pPr>
      <w:r>
        <w:rPr/>
        <w:t> </w:t>
      </w:r>
    </w:p>
    <w:p>
      <w:pPr>
        <w:pStyle w:val="TextBody"/>
        <w:bidi w:val="0"/>
        <w:spacing w:before="0" w:after="0"/>
        <w:jc w:val="center"/>
        <w:rPr>
          <w:b/>
          <w:sz w:val="20"/>
        </w:rPr>
      </w:pPr>
      <w:r>
        <w:rPr>
          <w:b/>
          <w:sz w:val="20"/>
        </w:rPr>
        <w:t>481,581 Ordinary Shares underlying Warrants</w:t>
      </w:r>
    </w:p>
    <w:p>
      <w:pPr>
        <w:pStyle w:val="TextBody"/>
        <w:bidi w:val="0"/>
        <w:spacing w:before="0" w:after="0"/>
        <w:jc w:val="left"/>
        <w:rPr/>
      </w:pPr>
      <w:r>
        <w:rPr/>
        <w:t> </w:t>
      </w:r>
    </w:p>
    <w:p>
      <w:pPr>
        <w:pStyle w:val="TextBody"/>
        <w:bidi w:val="0"/>
        <w:spacing w:before="0" w:after="0"/>
        <w:ind w:left="0" w:right="0" w:firstLine="259"/>
        <w:jc w:val="both"/>
        <w:rPr>
          <w:sz w:val="20"/>
        </w:rPr>
      </w:pPr>
      <w:r>
        <w:rPr>
          <w:sz w:val="20"/>
        </w:rPr>
        <w:t>This prospectus supplement is being filed to update and supplement the information contained in the prospectus dated November 7, 2023 (the “Prospectus”), which forms a part of our Registration Statement on Form F-1 (Registration No. 333-275229), as amended most recently by the post-effective amendment filed on August 23, 2024, with the information contained in our current report on Form 6-K, furnished to the Securities and Exchange Commission on January 15, 2026 (the “January 15, 2026 Form 6-K”). Accordingly, we have attached the January 15, 2026 Form 6-K to this prospectus supplement.</w:t>
      </w:r>
    </w:p>
    <w:p>
      <w:pPr>
        <w:pStyle w:val="TextBody"/>
        <w:bidi w:val="0"/>
        <w:spacing w:before="0" w:after="0"/>
        <w:jc w:val="left"/>
        <w:rPr/>
      </w:pPr>
      <w:r>
        <w:rPr/>
        <w:t> </w:t>
      </w:r>
    </w:p>
    <w:p>
      <w:pPr>
        <w:pStyle w:val="TextBody"/>
        <w:bidi w:val="0"/>
        <w:spacing w:before="0" w:after="0"/>
        <w:ind w:left="0" w:right="0" w:firstLine="259"/>
        <w:jc w:val="both"/>
        <w:rPr>
          <w:sz w:val="20"/>
        </w:rPr>
      </w:pPr>
      <w:r>
        <w:rPr>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pStyle w:val="TextBody"/>
        <w:bidi w:val="0"/>
        <w:spacing w:before="0" w:after="0"/>
        <w:jc w:val="left"/>
        <w:rPr/>
      </w:pPr>
      <w:r>
        <w:rPr/>
        <w:t> </w:t>
      </w:r>
    </w:p>
    <w:p>
      <w:pPr>
        <w:pStyle w:val="TextBody"/>
        <w:bidi w:val="0"/>
        <w:spacing w:before="0" w:after="0"/>
        <w:ind w:left="0" w:right="0" w:firstLine="259"/>
        <w:jc w:val="both"/>
        <w:rPr>
          <w:sz w:val="20"/>
        </w:rPr>
      </w:pPr>
      <w:r>
        <w:rPr>
          <w:sz w:val="20"/>
        </w:rPr>
        <w:t>Our Ordinary Shares are listed on The Nasdaq Capital Market (“Nasdaq”) under the symbol “ATON”. On January 27, 2026, the closing sale price of our Ordinary Shares as reported on Nasdaq was $0.598.</w:t>
      </w:r>
    </w:p>
    <w:p>
      <w:pPr>
        <w:pStyle w:val="TextBody"/>
        <w:bidi w:val="0"/>
        <w:spacing w:before="0" w:after="0"/>
        <w:jc w:val="left"/>
        <w:rPr/>
      </w:pPr>
      <w:r>
        <w:rPr/>
        <w:t> </w:t>
      </w:r>
    </w:p>
    <w:p>
      <w:pPr>
        <w:pStyle w:val="TextBody"/>
        <w:bidi w:val="0"/>
        <w:spacing w:before="0" w:after="0"/>
        <w:jc w:val="center"/>
        <w:rPr>
          <w:sz w:val="20"/>
        </w:rPr>
      </w:pPr>
      <w:r>
        <w:rPr>
          <w:sz w:val="20"/>
        </w:rPr>
        <w:t>__________________________</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firstLine="259"/>
        <w:jc w:val="left"/>
        <w:rPr>
          <w:b/>
          <w:sz w:val="20"/>
        </w:rPr>
      </w:pPr>
      <w:r>
        <w:rPr>
          <w:b/>
          <w:sz w:val="20"/>
        </w:rPr>
        <w:t>Investing in the securities offered in the Prospectus involves a high degree of risk. Before making any investment in these securities, you should consider carefully the risks and uncertainties in the section entitled “Risk Factors” beginning on page 9 of the Prospectus, and in the other documents that are incorporated by reference into the Prospectus.</w:t>
      </w:r>
    </w:p>
    <w:p>
      <w:pPr>
        <w:pStyle w:val="TextBody"/>
        <w:bidi w:val="0"/>
        <w:spacing w:before="0" w:after="0"/>
        <w:jc w:val="left"/>
        <w:rPr/>
      </w:pPr>
      <w:r>
        <w:rPr/>
        <w:t> </w:t>
      </w:r>
    </w:p>
    <w:p>
      <w:pPr>
        <w:pStyle w:val="TextBody"/>
        <w:bidi w:val="0"/>
        <w:spacing w:before="0" w:after="0"/>
        <w:ind w:left="0" w:right="0" w:firstLine="259"/>
        <w:jc w:val="left"/>
        <w:rPr>
          <w:b/>
          <w:sz w:val="20"/>
        </w:rPr>
      </w:pPr>
      <w:r>
        <w:rPr>
          <w:b/>
          <w:sz w:val="20"/>
        </w:rPr>
        <w:t>Neither the Securities and Exchange Commission nor any state or non-U.S. regulatory body has approved or disapproved of the securities offered in the Prospectus or passed upon the accuracy or adequacy of the Prospectus or this prospectus supplement. Any representation to the contrary is a criminal offense.</w:t>
      </w:r>
    </w:p>
    <w:p>
      <w:pPr>
        <w:pStyle w:val="TextBody"/>
        <w:bidi w:val="0"/>
        <w:spacing w:before="0" w:after="0"/>
        <w:jc w:val="left"/>
        <w:rPr/>
      </w:pPr>
      <w:r>
        <w:rPr/>
        <w:t> </w:t>
      </w:r>
    </w:p>
    <w:p>
      <w:pPr>
        <w:pStyle w:val="TextBody"/>
        <w:bidi w:val="0"/>
        <w:spacing w:before="0" w:after="0"/>
        <w:jc w:val="center"/>
        <w:rPr>
          <w:sz w:val="20"/>
        </w:rPr>
      </w:pPr>
      <w:r>
        <w:rPr>
          <w:sz w:val="20"/>
        </w:rPr>
        <w:t>__________________________</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b/>
          <w:sz w:val="20"/>
        </w:rPr>
      </w:pPr>
      <w:r>
        <w:rPr>
          <w:b/>
          <w:sz w:val="20"/>
        </w:rPr>
        <w:t>The date of this prospectus supplement is January 28, 2026</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UNITED STATES</w:t>
      </w:r>
    </w:p>
    <w:p>
      <w:pPr>
        <w:pStyle w:val="TextBody"/>
        <w:bidi w:val="0"/>
        <w:spacing w:before="0" w:after="0"/>
        <w:ind w:left="0" w:right="0" w:hanging="0"/>
        <w:jc w:val="center"/>
        <w:rPr>
          <w:b/>
          <w:sz w:val="20"/>
        </w:rPr>
      </w:pPr>
      <w:r>
        <w:rPr>
          <w:b/>
          <w:sz w:val="20"/>
        </w:rPr>
        <w:t>SECURITIES AND EXCHANGE COMMISSION</w:t>
      </w:r>
    </w:p>
    <w:p>
      <w:pPr>
        <w:pStyle w:val="TextBody"/>
        <w:bidi w:val="0"/>
        <w:spacing w:before="0" w:after="0"/>
        <w:ind w:left="0" w:right="0" w:hanging="0"/>
        <w:jc w:val="center"/>
        <w:rPr>
          <w:b/>
          <w:sz w:val="20"/>
        </w:rPr>
      </w:pPr>
      <w:r>
        <w:rPr>
          <w:b/>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FORM 6-K</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REPORT OF FOREIGN PRIVATE ISSUER PURSUANT TO RULE 13a-16 OR 15d-16</w:t>
      </w:r>
    </w:p>
    <w:p>
      <w:pPr>
        <w:pStyle w:val="TextBody"/>
        <w:bidi w:val="0"/>
        <w:spacing w:before="0" w:after="0"/>
        <w:ind w:left="0" w:right="0" w:hanging="0"/>
        <w:jc w:val="center"/>
        <w:rPr>
          <w:b/>
          <w:sz w:val="20"/>
        </w:rPr>
      </w:pPr>
      <w:r>
        <w:rPr>
          <w:b/>
          <w:sz w:val="20"/>
        </w:rPr>
        <w:t>OF 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For the month of January 2026</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 xml:space="preserve">Commission File Number: </w:t>
      </w:r>
      <w:r>
        <w:rPr>
          <w:b/>
          <w:sz w:val="20"/>
        </w:rPr>
        <w:t>001-40086</w:t>
      </w:r>
    </w:p>
    <w:p>
      <w:pPr>
        <w:pStyle w:val="TextBody"/>
        <w:bidi w:val="0"/>
        <w:spacing w:before="0" w:after="0"/>
        <w:ind w:left="0" w:right="0" w:hanging="0"/>
        <w:jc w:val="left"/>
        <w:rPr/>
      </w:pPr>
      <w:r>
        <w:rPr/>
        <w:t> </w:t>
      </w:r>
    </w:p>
    <w:p>
      <w:pPr>
        <w:pStyle w:val="TextBody"/>
        <w:pBdr>
          <w:bottom w:val="single" w:sz="12" w:space="1" w:color="000000"/>
        </w:pBdr>
        <w:bidi w:val="0"/>
        <w:spacing w:before="0" w:after="0"/>
        <w:ind w:left="0" w:right="0" w:hanging="0"/>
        <w:jc w:val="center"/>
        <w:rPr>
          <w:b/>
          <w:sz w:val="20"/>
        </w:rPr>
      </w:pPr>
      <w:r>
        <w:rPr>
          <w:b/>
          <w:sz w:val="20"/>
        </w:rPr>
        <w:t>AlphaTON Capital Corp</w:t>
      </w:r>
    </w:p>
    <w:p>
      <w:pPr>
        <w:pStyle w:val="TextBody"/>
        <w:bidi w:val="0"/>
        <w:spacing w:before="0" w:after="0"/>
        <w:ind w:left="0" w:right="0" w:hanging="0"/>
        <w:jc w:val="center"/>
        <w:rPr>
          <w:sz w:val="20"/>
        </w:rPr>
      </w:pPr>
      <w:r>
        <w:rPr>
          <w:sz w:val="20"/>
        </w:rPr>
        <w:t>(Translation of registrant's name into English)</w:t>
      </w:r>
    </w:p>
    <w:p>
      <w:pPr>
        <w:pStyle w:val="TextBody"/>
        <w:bidi w:val="0"/>
        <w:spacing w:before="0" w:after="0"/>
        <w:ind w:left="0" w:right="0" w:hanging="0"/>
        <w:jc w:val="left"/>
        <w:rPr/>
      </w:pPr>
      <w:r>
        <w:rPr/>
        <w:t>  </w:t>
      </w:r>
    </w:p>
    <w:tbl>
      <w:tblPr>
        <w:tblW w:w="8165" w:type="dxa"/>
        <w:jc w:val="left"/>
        <w:tblInd w:w="0" w:type="dxa"/>
        <w:tblLayout w:type="fixed"/>
        <w:tblCellMar>
          <w:top w:w="0" w:type="dxa"/>
          <w:left w:w="0" w:type="dxa"/>
          <w:bottom w:w="28" w:type="dxa"/>
          <w:right w:w="0" w:type="dxa"/>
        </w:tblCellMar>
      </w:tblPr>
      <w:tblGrid>
        <w:gridCol w:w="8165"/>
      </w:tblGrid>
      <w:tr>
        <w:trPr/>
        <w:tc>
          <w:tcPr>
            <w:tcW w:w="8165" w:type="dxa"/>
            <w:tcBorders>
              <w:bottom w:val="single" w:sz="12" w:space="0" w:color="000000"/>
            </w:tcBorders>
            <w:vAlign w:val="center"/>
          </w:tcPr>
          <w:p>
            <w:pPr>
              <w:pStyle w:val="TableContents"/>
              <w:bidi w:val="0"/>
              <w:spacing w:before="0" w:after="283"/>
              <w:jc w:val="center"/>
              <w:rPr>
                <w:b/>
                <w:sz w:val="20"/>
              </w:rPr>
            </w:pPr>
            <w:r>
              <w:rPr>
                <w:b/>
                <w:sz w:val="20"/>
              </w:rPr>
              <w:t>Clarence Thomas Building, P.O. Box 4649, Road Town, Tortola, British Virgin Islands, VG1110</w:t>
            </w:r>
          </w:p>
        </w:tc>
      </w:tr>
      <w:tr>
        <w:trPr/>
        <w:tc>
          <w:tcPr>
            <w:tcW w:w="8165" w:type="dxa"/>
            <w:tcBorders/>
            <w:tcMar>
              <w:bottom w:w="0" w:type="dxa"/>
            </w:tcMar>
            <w:vAlign w:val="center"/>
          </w:tcPr>
          <w:p>
            <w:pPr>
              <w:pStyle w:val="TableContents"/>
              <w:bidi w:val="0"/>
              <w:spacing w:before="0" w:after="283"/>
              <w:jc w:val="center"/>
              <w:rPr>
                <w:sz w:val="20"/>
              </w:rPr>
            </w:pPr>
            <w:r>
              <w:rPr>
                <w:sz w:val="20"/>
              </w:rPr>
              <w:t>(Address of principal executive offices)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Indicate by check mark whether the registrant files or will file annual reports under cover of Form 20-F or Form 40-F:</w:t>
      </w:r>
    </w:p>
    <w:p>
      <w:pPr>
        <w:pStyle w:val="TextBody"/>
        <w:bidi w:val="0"/>
        <w:spacing w:before="0" w:after="0"/>
        <w:ind w:left="0" w:right="0" w:hanging="0"/>
        <w:jc w:val="both"/>
        <w:rPr/>
      </w:pPr>
      <w:r>
        <w:rPr/>
        <w:t> </w:t>
      </w:r>
    </w:p>
    <w:p>
      <w:pPr>
        <w:pStyle w:val="TextBody"/>
        <w:bidi w:val="0"/>
        <w:spacing w:before="0" w:after="0"/>
        <w:jc w:val="left"/>
        <w:rPr>
          <w:sz w:val="20"/>
        </w:rPr>
      </w:pPr>
      <w:r>
        <w:rPr>
          <w:sz w:val="20"/>
        </w:rPr>
        <w:t>Form 20-F ☒                            Form 40-F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INCORPORATION BY REFERENCE</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This report on Form 6-K (including any exhibits attached hereto) shall be deemed to be incorporated by reference into the registration statements on Form S-8 (File Nos. 333-275842 and 333-289199) and Form F-3 (File Nos. 333-286961, 333-290827, 333-291341 and 333-291921) of AlphaTON Capital Corp (the “Company”) (including any prospectuses forming a part of such registration statements) and to be a part thereof from the date on which this report is filed, to the extent not superseded by documents or reports subsequently filed or furnished.</w:t>
      </w:r>
    </w:p>
    <w:p>
      <w:pPr>
        <w:pStyle w:val="TextBody"/>
        <w:bidi w:val="0"/>
        <w:spacing w:before="0" w:after="0"/>
        <w:ind w:left="0" w:right="0" w:firstLine="72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Registered Direct Offering</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On January 13, 2026, the Company entered into a securities purchase agreement (the “Purchase Agreement”) with the purchasers identified on the signature pages thereto (the “Purchasers”), pursuant to which the Company offered for sale to the Purchasers in a registered direct offering (the “Offering”) an aggregate of 5,230,000 ordinary shares and, in lieu thereof, pre-funded warrants to purchase up to 9,770,000 ordinary shares (the “pre-funded warrants”). The ordinary shares and pre-funded warrants (including the ordinary shares underlying the pre-funded warrants) were offered by the Company pursuant to the Company’s shelf registration statement on Form F-3 (File No. 333-291921) (the “Registration Statement”) filed by the Company with the U.S. Securities and Exchange Commission (the “Commission”) on December 3, 2025 and declared effective by the Commission on December 11, 2025.</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The purchase price for each ordinary share in the Offering was $1.00, and purchase price for each pre-funded warrant in the Offering was $0.9999, which is equal to the per ordinary share purchase price, minus $0.0001. The closing of the Offering occurred on January 14, 2026. The net proceeds from the Offering were approximately $13.6 million. The Company intends to use the net proceeds to scale GPU deployments for Cocoon AI, as well as for working capital and other general corporate purposes.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The Purchase Agreement contains customary representations, warranties and agreements by the Company, indemnification obligations of the Company and the Purchasers, including for liabilities arising under the Securities Act of 1933, as amended, other obligations of the parties and termination provisions.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Pursuant to the Purchase Agreement, the Company agreed, subject to certain exceptions, not to issue, enter into any agreement to issue or announce the issuance or proposed issuance of, any ordinary shares (or securities convertible into or exercisable for ordinary shares) or, subject to certain exceptions, file any registration statement, including any amendments or supplements thereto, until 30 days after the closing date of the Offering. The Company also agreed not to enter into a Variable Rate Transaction (as defined in the Purchase Agreement) for a period of one year after the closing date of the Offering, subject to certain exceptions described in the Purchase Agreement.</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In connection with the Offering, the Company engaged H.C. Wainwright &amp; Co., LLC (the “Placement Agent”) to act as the Company’s exclusive placement agent in connection with the Offering. The Company agreed to pay the Placement Agent a cash fee equal to 7.0% of the gross proceeds raised in the Offering. The Company also agreed to reimburse the Placement Agent for all reasonable out-of-pocket costs and expenses incurred in connection with the Offering in an aggregate amount up to $75,000 and up to $15,950 for expenses of the clearing firm of the Placement Agent.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The Company also agreed to issue to the Placement Agent, or its designees, warrants (the “Placement Agent Warrants”) to purchase up to an aggregate of 1,050,000 ordinary shares (equal to 7.0% of the aggregate number of securities sold in the Offering). The Placement Agent Warrants have an exercise price of $1.25 per share (which represents 125% of the offering price per ordinary share), are immediately exercisable upon issuance and expire five years from the commencement of sales in the Offering.</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In addition to the ordinary shares and the pre-funded warrants (including the ordinary shares underlying the pre-funded warrants), the Placement Agent Warrants and the ordinary shares underlying the Placement Agent Warrants were offered by the Company pursuant to the Registration Statement.</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Terms of the Pre-Funded Warrants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The following summary of certain terms and provisions of the pre-funded warrants is not complete and is subject to, and qualified in its entirety by, the provisions of the pre-funded warrants, the form of which is filed as Exhibit 4.1 to this report on Form 6-K and incorporated herein by reference.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b/>
          <w:i/>
          <w:sz w:val="20"/>
        </w:rPr>
        <w:t>Duration and Exercise Price</w:t>
      </w:r>
      <w:r>
        <w:rPr>
          <w:sz w:val="20"/>
        </w:rPr>
        <w:t>. Each pre-funded warrant will be exercisable at any time beginning on the date of issuance and will expire only when fully exercised. Each pre-funded warrant entitles the holder thereof to purchase the ordinary shares at an exercise price equal to $0.0001 per share. The exercise price and number of ordinary shares issuable upon exercise of each pre-funded warrant is subject to adjustment in the event of share dividends, share splits, reorganizations or similar events affecting the ordinary shares and the exercise price.</w:t>
      </w:r>
    </w:p>
    <w:p>
      <w:pPr>
        <w:pStyle w:val="TextBody"/>
        <w:bidi w:val="0"/>
        <w:spacing w:before="0" w:after="0"/>
        <w:ind w:left="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b/>
          <w:i/>
          <w:sz w:val="20"/>
        </w:rPr>
        <w:t>Exercisability</w:t>
      </w:r>
      <w:r>
        <w:rPr>
          <w:sz w:val="20"/>
        </w:rPr>
        <w:t>. The holder of the pre-funded warrant may exercise the pre-funded warrant by delivering an exercise notice, completed and duly signed, and payment in cash of the exercise price for the number of ordinary shares for which the pre-funded warrant is being exercised. The holder of the pre-funded warrant may also satisfy its obligation to pay the exercise price through a “cashless exercise,” in which the holder receives the net value of the pre-funded warrant in ordinary shares determined according to the formula set forth in the pre-funded warrant.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A holder of the pre-funded warrant will not be entitled to exercise any portion of such pre-funded warrant that, upon giving effect to such exercise, would cause the aggregate number of the ordinary shares beneficially owned by such holder (together with its affiliates and any other persons whose beneficial ownership of ordinary shares would be aggregated with the holder for purposes of Section 13(d) of the Securities Exchange Act of 1934, as amended) to exceed 4.99% (or, at the holder’s election, 9.99%) of the total number of then issued and outstanding ordinary shares, as such percentage ownership is determined in accordance with the terms of the pre-funded warrant and subject to such holder’s rights under the pre-funded warrant to increase or decrease such percentage to any other percentage not in excess of 19.99% upon at least 61 days’ prior notice from such holder to the Company.</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b/>
          <w:i/>
          <w:sz w:val="20"/>
        </w:rPr>
        <w:t>Fundamental Transaction</w:t>
      </w:r>
      <w:r>
        <w:rPr>
          <w:sz w:val="20"/>
        </w:rPr>
        <w:t>.  In the event of any fundamental transaction, as described in the pre-funded warrants and generally including any merger with or into another entity, sale of all or substantially all of the Company’s assets, tender offer or exchange offer, or reclassification of the Company’s ordinary shares, then upon any subsequent exercise of a pre-funded warrant, the holder will have the right to receive as alternative consideration, for each ordinary share that would have been issuable upon such exercise immediately prior to the occurrence of such fundamental transaction, the number of ordinary shares of the successor or acquiring corporation of the Company, if it is the surviving corporation, and any additional consideration receivable upon or as a result of such transaction by a holder of the number of ordinary shares for which the warrant is exercisable immediately prior to such event.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b/>
          <w:i/>
          <w:sz w:val="20"/>
        </w:rPr>
        <w:t>Transferability</w:t>
      </w:r>
      <w:r>
        <w:rPr>
          <w:sz w:val="20"/>
        </w:rPr>
        <w:t>. Subject to applicable laws, a pre-funded warrant may be transferred at the option of the holder upon surrender of the pre-funded warrant to the Company together with the appropriate instruments of transfer and payment of funds sufficient to pay any transfer taxes (if applicable).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b/>
          <w:i/>
          <w:sz w:val="20"/>
        </w:rPr>
        <w:t>Exchange Listing</w:t>
      </w:r>
      <w:r>
        <w:rPr>
          <w:sz w:val="20"/>
        </w:rPr>
        <w:t>. There is no established public trading market available for the pre-funded warrants on any securities exchange or nationally recognized trading system. The Company does not intend to list the pre-funded warrants on The Nasdaq Capital Market or any other securities exchange or nationally recognized trading system.</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The Company will initially serve as the warrant agent for the pre-funded warrants.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b/>
          <w:i/>
          <w:sz w:val="20"/>
        </w:rPr>
        <w:t xml:space="preserve">Right as a Shareholder. </w:t>
      </w:r>
      <w:r>
        <w:rPr>
          <w:sz w:val="20"/>
        </w:rPr>
        <w:t>Except as otherwise provided in the pre-funded warrants or by virtue of such holder’s ownership of the ordinary shares, the holders of the pre-funded warrants do not have the rights or privileges of holders of the ordinary shares, including any voting rights, until they exercise their pre-funded warrants.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The foregoing descriptions of the pre-funded warrants, the Placement Agent Warrants and the Purchase Agreement do not purport to be complete and are qualified in their entirety by reference to the full text of the forms of pre-funded warrant, Placement Agent Warrant and Purchase Agreement, copies of which are filed as Exhibits 4.1, 4.2 and 10.1, respectively, to this report on Form 6-K and are incorporated herein by reference.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The representations, warranties and covenants contained in the Purchase Agreement were made only for purposes of such agreement and as of specific dates, were solely for the benefit of the parties thereto and may be subject to limitations agreed upon by the contracting parties. Accordingly, the Purchase Agreement is incorporated herein by reference only to provide investors with information regarding the terms of the Purchase Agreement and not to provide investors with any other factual information regarding the Company or its business, and should be read in conjunction with the disclosures in the Company’s reports and other filings with the Commission.</w:t>
      </w:r>
    </w:p>
    <w:p>
      <w:pPr>
        <w:pStyle w:val="TextBody"/>
        <w:bidi w:val="0"/>
        <w:spacing w:before="0" w:after="0"/>
        <w:ind w:left="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This report on Form 6-K does not constitute an offer to sell, or the solicitation of an offer to buy, nor shall there be any sale of these securities in any state or jurisdiction in which such offer, solicitation or sale would be unlawful prior to the registration or qualification under the securities laws of any such state or jurisdiction.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The legal opinion, including the related consent, of Forbes Hare LLP relating to the issuance and sale of the Company’s securities in the Offering is filed as Exhibit 5.1 to this report on Form 6-K.</w:t>
      </w:r>
    </w:p>
    <w:p>
      <w:pPr>
        <w:pStyle w:val="TextBody"/>
        <w:bidi w:val="0"/>
        <w:spacing w:before="0" w:after="0"/>
        <w:ind w:left="0" w:right="0" w:firstLine="720"/>
        <w:jc w:val="both"/>
        <w:rPr/>
      </w:pPr>
      <w:r>
        <w:rPr/>
        <w:t> </w:t>
      </w:r>
    </w:p>
    <w:p>
      <w:pPr>
        <w:pStyle w:val="TextBody"/>
        <w:bidi w:val="0"/>
        <w:spacing w:before="0" w:after="0"/>
        <w:ind w:left="0" w:right="0" w:hanging="0"/>
        <w:jc w:val="both"/>
        <w:rPr>
          <w:b/>
          <w:sz w:val="20"/>
        </w:rPr>
      </w:pPr>
      <w:r>
        <w:rPr>
          <w:b/>
          <w:sz w:val="20"/>
        </w:rPr>
        <w:t>Press Releases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On January 13, 2026, the Company issued a press release announcing the pricing of the Offering and, on January 15, 2026, the Company issued a press release announcing the closing of the Offering, copies of which are furnished hereto as Exhibits 99.1 and 99.2, respectively, and are incorporated herein by reference.</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Forward-Looking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This report on Form 6-K, including Exhibits 99.1 and 99.2 hereto, contains forward-looking statements that involve risks and uncertainties, such as statements related to the intended use of the net proceeds from the Offering. The risks and uncertainties involved include the Company’s financial position, market conditions and other risks detailed from time to time in the Company’s reports and other filings with the Commission. You are cautioned not to place undue reliance on forward-looking statements, which are based on the Company’s current expectations and assumptions and speak only as of the date of this report on Form 6-K. The Company does not intend to revise or update any forward-looking statement in this report on Form 6-K as a result of new information, future events or otherwise, except as required by U.S. federal securities law.</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EXHIBITS</w:t>
      </w:r>
    </w:p>
    <w:p>
      <w:pPr>
        <w:pStyle w:val="TextBody"/>
        <w:bidi w:val="0"/>
        <w:spacing w:before="0" w:after="0"/>
        <w:ind w:left="0" w:right="0" w:hanging="0"/>
        <w:jc w:val="left"/>
        <w:rPr/>
      </w:pPr>
      <w:r>
        <w:rPr/>
        <w:t> </w:t>
      </w:r>
    </w:p>
    <w:tbl>
      <w:tblPr>
        <w:tblW w:w="5245" w:type="dxa"/>
        <w:jc w:val="left"/>
        <w:tblInd w:w="0" w:type="dxa"/>
        <w:tblLayout w:type="fixed"/>
        <w:tblCellMar>
          <w:top w:w="0" w:type="dxa"/>
          <w:left w:w="0" w:type="dxa"/>
          <w:bottom w:w="28" w:type="dxa"/>
          <w:right w:w="0" w:type="dxa"/>
        </w:tblCellMar>
      </w:tblPr>
      <w:tblGrid>
        <w:gridCol w:w="770"/>
        <w:gridCol w:w="60"/>
        <w:gridCol w:w="4415"/>
      </w:tblGrid>
      <w:tr>
        <w:trPr/>
        <w:tc>
          <w:tcPr>
            <w:tcW w:w="770" w:type="dxa"/>
            <w:tcBorders>
              <w:bottom w:val="single" w:sz="12" w:space="0" w:color="000000"/>
            </w:tcBorders>
            <w:vAlign w:val="center"/>
          </w:tcPr>
          <w:p>
            <w:pPr>
              <w:pStyle w:val="TableContents"/>
              <w:bidi w:val="0"/>
              <w:spacing w:before="0" w:after="283"/>
              <w:jc w:val="left"/>
              <w:rPr>
                <w:sz w:val="20"/>
              </w:rPr>
            </w:pPr>
            <w:r>
              <w:rPr>
                <w:sz w:val="20"/>
              </w:rPr>
              <w:t>Exhibit</w:t>
              <w:br/>
              <w:t>Number  </w:t>
            </w:r>
          </w:p>
        </w:tc>
        <w:tc>
          <w:tcPr>
            <w:tcW w:w="60" w:type="dxa"/>
            <w:tcBorders/>
            <w:tcMar>
              <w:bottom w:w="0" w:type="dxa"/>
            </w:tcMar>
            <w:vAlign w:val="center"/>
          </w:tcPr>
          <w:p>
            <w:pPr>
              <w:pStyle w:val="TableContents"/>
              <w:bidi w:val="0"/>
              <w:spacing w:before="0" w:after="283"/>
              <w:jc w:val="left"/>
              <w:rPr/>
            </w:pPr>
            <w:r>
              <w:rPr/>
              <w:t> </w:t>
            </w:r>
          </w:p>
        </w:tc>
        <w:tc>
          <w:tcPr>
            <w:tcW w:w="4415" w:type="dxa"/>
            <w:tcBorders>
              <w:bottom w:val="single" w:sz="12" w:space="0" w:color="000000"/>
            </w:tcBorders>
            <w:vAlign w:val="center"/>
          </w:tcPr>
          <w:p>
            <w:pPr>
              <w:pStyle w:val="TableContents"/>
              <w:bidi w:val="0"/>
              <w:spacing w:before="0" w:after="283"/>
              <w:jc w:val="left"/>
              <w:rPr>
                <w:sz w:val="20"/>
              </w:rPr>
            </w:pPr>
            <w:r>
              <w:rPr>
                <w:sz w:val="20"/>
              </w:rPr>
              <w:t>Description  </w:t>
            </w:r>
          </w:p>
        </w:tc>
      </w:tr>
      <w:tr>
        <w:trPr/>
        <w:tc>
          <w:tcPr>
            <w:tcW w:w="770" w:type="dxa"/>
            <w:tcBorders/>
            <w:shd w:fill="CCEEFF" w:val="clear"/>
            <w:tcMar>
              <w:bottom w:w="0" w:type="dxa"/>
            </w:tcMar>
            <w:vAlign w:val="center"/>
          </w:tcPr>
          <w:p>
            <w:pPr>
              <w:pStyle w:val="TableContents"/>
              <w:bidi w:val="0"/>
              <w:spacing w:before="0" w:after="283"/>
              <w:jc w:val="left"/>
              <w:rPr/>
            </w:pPr>
            <w:hyperlink w:anchor="a_001">
              <w:r>
                <w:rPr>
                  <w:rStyle w:val="InternetLink"/>
                  <w:sz w:val="20"/>
                </w:rPr>
                <w:t>4.1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415" w:type="dxa"/>
            <w:tcBorders/>
            <w:shd w:fill="CCEEFF" w:val="clear"/>
            <w:tcMar>
              <w:bottom w:w="0" w:type="dxa"/>
            </w:tcMar>
            <w:vAlign w:val="center"/>
          </w:tcPr>
          <w:p>
            <w:pPr>
              <w:pStyle w:val="TableContents"/>
              <w:bidi w:val="0"/>
              <w:spacing w:before="0" w:after="283"/>
              <w:jc w:val="left"/>
              <w:rPr/>
            </w:pPr>
            <w:hyperlink w:anchor="a_001">
              <w:r>
                <w:rPr>
                  <w:rStyle w:val="InternetLink"/>
                  <w:sz w:val="20"/>
                </w:rPr>
                <w:t>Form of Pre-Funded Warrant.</w:t>
              </w:r>
            </w:hyperlink>
          </w:p>
        </w:tc>
      </w:tr>
      <w:tr>
        <w:trPr/>
        <w:tc>
          <w:tcPr>
            <w:tcW w:w="770" w:type="dxa"/>
            <w:tcBorders/>
            <w:shd w:fill="FFFFFF" w:val="clear"/>
            <w:tcMar>
              <w:bottom w:w="0" w:type="dxa"/>
            </w:tcMar>
            <w:vAlign w:val="center"/>
          </w:tcPr>
          <w:p>
            <w:pPr>
              <w:pStyle w:val="TableContents"/>
              <w:bidi w:val="0"/>
              <w:spacing w:before="0" w:after="283"/>
              <w:jc w:val="left"/>
              <w:rPr/>
            </w:pPr>
            <w:hyperlink w:anchor="a_002">
              <w:r>
                <w:rPr>
                  <w:rStyle w:val="InternetLink"/>
                  <w:sz w:val="20"/>
                </w:rPr>
                <w:t>4.2</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4415" w:type="dxa"/>
            <w:tcBorders/>
            <w:shd w:fill="FFFFFF" w:val="clear"/>
            <w:tcMar>
              <w:bottom w:w="0" w:type="dxa"/>
            </w:tcMar>
            <w:vAlign w:val="center"/>
          </w:tcPr>
          <w:p>
            <w:pPr>
              <w:pStyle w:val="TableContents"/>
              <w:bidi w:val="0"/>
              <w:spacing w:before="0" w:after="283"/>
              <w:jc w:val="left"/>
              <w:rPr/>
            </w:pPr>
            <w:hyperlink w:anchor="a_002">
              <w:r>
                <w:rPr>
                  <w:rStyle w:val="InternetLink"/>
                  <w:sz w:val="20"/>
                </w:rPr>
                <w:t>Form of Placement Agent Warrant.</w:t>
              </w:r>
            </w:hyperlink>
          </w:p>
        </w:tc>
      </w:tr>
      <w:tr>
        <w:trPr/>
        <w:tc>
          <w:tcPr>
            <w:tcW w:w="770" w:type="dxa"/>
            <w:tcBorders/>
            <w:shd w:fill="CCEEFF" w:val="clear"/>
            <w:tcMar>
              <w:bottom w:w="0" w:type="dxa"/>
            </w:tcMar>
            <w:vAlign w:val="center"/>
          </w:tcPr>
          <w:p>
            <w:pPr>
              <w:pStyle w:val="TableContents"/>
              <w:bidi w:val="0"/>
              <w:spacing w:before="0" w:after="283"/>
              <w:jc w:val="left"/>
              <w:rPr/>
            </w:pPr>
            <w:hyperlink w:anchor="a_003">
              <w:r>
                <w:rPr>
                  <w:rStyle w:val="InternetLink"/>
                  <w:sz w:val="20"/>
                </w:rPr>
                <w:t>5.1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415" w:type="dxa"/>
            <w:tcBorders/>
            <w:shd w:fill="CCEEFF" w:val="clear"/>
            <w:tcMar>
              <w:bottom w:w="0" w:type="dxa"/>
            </w:tcMar>
            <w:vAlign w:val="center"/>
          </w:tcPr>
          <w:p>
            <w:pPr>
              <w:pStyle w:val="TableContents"/>
              <w:bidi w:val="0"/>
              <w:spacing w:before="0" w:after="283"/>
              <w:jc w:val="left"/>
              <w:rPr/>
            </w:pPr>
            <w:hyperlink w:anchor="a_003">
              <w:r>
                <w:rPr>
                  <w:rStyle w:val="InternetLink"/>
                  <w:sz w:val="20"/>
                </w:rPr>
                <w:t>Opinion of Forbes Hare LLP.</w:t>
              </w:r>
            </w:hyperlink>
          </w:p>
        </w:tc>
      </w:tr>
      <w:tr>
        <w:trPr/>
        <w:tc>
          <w:tcPr>
            <w:tcW w:w="770" w:type="dxa"/>
            <w:tcBorders/>
            <w:shd w:fill="FFFFFF" w:val="clear"/>
            <w:tcMar>
              <w:bottom w:w="0" w:type="dxa"/>
            </w:tcMar>
            <w:vAlign w:val="center"/>
          </w:tcPr>
          <w:p>
            <w:pPr>
              <w:pStyle w:val="TableContents"/>
              <w:bidi w:val="0"/>
              <w:spacing w:before="0" w:after="283"/>
              <w:jc w:val="left"/>
              <w:rPr/>
            </w:pPr>
            <w:hyperlink w:anchor="a_004">
              <w:r>
                <w:rPr>
                  <w:rStyle w:val="InternetLink"/>
                  <w:sz w:val="20"/>
                </w:rPr>
                <w:t>10.1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4415" w:type="dxa"/>
            <w:tcBorders/>
            <w:shd w:fill="FFFFFF" w:val="clear"/>
            <w:tcMar>
              <w:bottom w:w="0" w:type="dxa"/>
            </w:tcMar>
            <w:vAlign w:val="center"/>
          </w:tcPr>
          <w:p>
            <w:pPr>
              <w:pStyle w:val="TableContents"/>
              <w:bidi w:val="0"/>
              <w:spacing w:before="0" w:after="283"/>
              <w:jc w:val="left"/>
              <w:rPr/>
            </w:pPr>
            <w:hyperlink w:anchor="a_004">
              <w:r>
                <w:rPr>
                  <w:rStyle w:val="InternetLink"/>
                  <w:sz w:val="20"/>
                </w:rPr>
                <w:t>Form of Securities Purchase Agreement.</w:t>
              </w:r>
            </w:hyperlink>
          </w:p>
        </w:tc>
      </w:tr>
      <w:tr>
        <w:trPr/>
        <w:tc>
          <w:tcPr>
            <w:tcW w:w="770" w:type="dxa"/>
            <w:tcBorders/>
            <w:shd w:fill="CCEEFF" w:val="clear"/>
            <w:tcMar>
              <w:bottom w:w="0" w:type="dxa"/>
            </w:tcMar>
            <w:vAlign w:val="center"/>
          </w:tcPr>
          <w:p>
            <w:pPr>
              <w:pStyle w:val="TableContents"/>
              <w:bidi w:val="0"/>
              <w:spacing w:before="0" w:after="283"/>
              <w:jc w:val="left"/>
              <w:rPr/>
            </w:pPr>
            <w:hyperlink w:anchor="a_003">
              <w:r>
                <w:rPr>
                  <w:rStyle w:val="InternetLink"/>
                  <w:sz w:val="20"/>
                </w:rPr>
                <w:t>23.1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415" w:type="dxa"/>
            <w:tcBorders/>
            <w:shd w:fill="CCEEFF" w:val="clear"/>
            <w:tcMar>
              <w:bottom w:w="0" w:type="dxa"/>
            </w:tcMar>
            <w:vAlign w:val="center"/>
          </w:tcPr>
          <w:p>
            <w:pPr>
              <w:pStyle w:val="TableContents"/>
              <w:bidi w:val="0"/>
              <w:spacing w:before="0" w:after="283"/>
              <w:jc w:val="left"/>
              <w:rPr/>
            </w:pPr>
            <w:hyperlink w:anchor="a_003">
              <w:r>
                <w:rPr>
                  <w:rStyle w:val="InternetLink"/>
                  <w:sz w:val="20"/>
                </w:rPr>
                <w:t>Consent of Forbes Hare LLP (included in Exhibit 5.1).</w:t>
              </w:r>
            </w:hyperlink>
          </w:p>
        </w:tc>
      </w:tr>
      <w:tr>
        <w:trPr/>
        <w:tc>
          <w:tcPr>
            <w:tcW w:w="770" w:type="dxa"/>
            <w:tcBorders/>
            <w:shd w:fill="FFFFFF" w:val="clear"/>
            <w:tcMar>
              <w:bottom w:w="0" w:type="dxa"/>
            </w:tcMar>
            <w:vAlign w:val="center"/>
          </w:tcPr>
          <w:p>
            <w:pPr>
              <w:pStyle w:val="TableContents"/>
              <w:bidi w:val="0"/>
              <w:spacing w:before="0" w:after="283"/>
              <w:jc w:val="left"/>
              <w:rPr/>
            </w:pPr>
            <w:hyperlink w:anchor="a_005">
              <w:r>
                <w:rPr>
                  <w:rStyle w:val="InternetLink"/>
                </w:rPr>
                <w:t>99.1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4415" w:type="dxa"/>
            <w:tcBorders/>
            <w:shd w:fill="FFFFFF" w:val="clear"/>
            <w:tcMar>
              <w:bottom w:w="0" w:type="dxa"/>
            </w:tcMar>
            <w:vAlign w:val="center"/>
          </w:tcPr>
          <w:p>
            <w:pPr>
              <w:pStyle w:val="TableContents"/>
              <w:bidi w:val="0"/>
              <w:spacing w:before="0" w:after="283"/>
              <w:jc w:val="left"/>
              <w:rPr/>
            </w:pPr>
            <w:hyperlink w:anchor="a_005">
              <w:r>
                <w:rPr>
                  <w:rStyle w:val="InternetLink"/>
                </w:rPr>
                <w:t>Press Release issued January 13, 2026.</w:t>
              </w:r>
            </w:hyperlink>
          </w:p>
        </w:tc>
      </w:tr>
      <w:tr>
        <w:trPr/>
        <w:tc>
          <w:tcPr>
            <w:tcW w:w="770" w:type="dxa"/>
            <w:tcBorders/>
            <w:shd w:fill="CCEEFF" w:val="clear"/>
            <w:tcMar>
              <w:bottom w:w="0" w:type="dxa"/>
            </w:tcMar>
            <w:vAlign w:val="center"/>
          </w:tcPr>
          <w:p>
            <w:pPr>
              <w:pStyle w:val="TableContents"/>
              <w:bidi w:val="0"/>
              <w:spacing w:before="0" w:after="283"/>
              <w:jc w:val="left"/>
              <w:rPr/>
            </w:pPr>
            <w:hyperlink w:anchor="a_006">
              <w:r>
                <w:rPr>
                  <w:rStyle w:val="InternetLink"/>
                </w:rPr>
                <w:t>99.2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415" w:type="dxa"/>
            <w:tcBorders/>
            <w:shd w:fill="CCEEFF" w:val="clear"/>
            <w:tcMar>
              <w:bottom w:w="0" w:type="dxa"/>
            </w:tcMar>
            <w:vAlign w:val="center"/>
          </w:tcPr>
          <w:p>
            <w:pPr>
              <w:pStyle w:val="TableContents"/>
              <w:bidi w:val="0"/>
              <w:spacing w:before="0" w:after="283"/>
              <w:jc w:val="left"/>
              <w:rPr/>
            </w:pPr>
            <w:hyperlink w:anchor="a_006">
              <w:r>
                <w:rPr>
                  <w:rStyle w:val="InternetLink"/>
                </w:rPr>
                <w:t>Press Release issued January 15, 2026.</w:t>
              </w:r>
            </w:hyperlink>
          </w:p>
        </w:tc>
      </w:tr>
    </w:tbl>
    <w:p>
      <w:pPr>
        <w:pStyle w:val="TextBody"/>
        <w:bidi w:val="0"/>
        <w:spacing w:before="0" w:after="0"/>
        <w:ind w:left="0" w:right="0" w:firstLine="72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SIGNATURE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pPr>
      <w:r>
        <w:rPr/>
        <w:t> </w:t>
      </w:r>
    </w:p>
    <w:tbl>
      <w:tblPr>
        <w:tblW w:w="4820" w:type="dxa"/>
        <w:jc w:val="left"/>
        <w:tblInd w:w="0" w:type="dxa"/>
        <w:tblLayout w:type="fixed"/>
        <w:tblCellMar>
          <w:top w:w="0" w:type="dxa"/>
          <w:left w:w="0" w:type="dxa"/>
          <w:bottom w:w="0" w:type="dxa"/>
          <w:right w:w="0" w:type="dxa"/>
        </w:tblCellMar>
      </w:tblPr>
      <w:tblGrid>
        <w:gridCol w:w="2015"/>
        <w:gridCol w:w="320"/>
        <w:gridCol w:w="590"/>
        <w:gridCol w:w="1895"/>
      </w:tblGrid>
      <w:tr>
        <w:trPr/>
        <w:tc>
          <w:tcPr>
            <w:tcW w:w="2015" w:type="dxa"/>
            <w:tcBorders/>
            <w:vAlign w:val="center"/>
          </w:tcPr>
          <w:p>
            <w:pPr>
              <w:pStyle w:val="TableContents"/>
              <w:bidi w:val="0"/>
              <w:spacing w:before="0" w:after="283"/>
              <w:jc w:val="left"/>
              <w:rPr/>
            </w:pPr>
            <w:r>
              <w:rPr/>
              <w:t> </w:t>
            </w:r>
          </w:p>
        </w:tc>
        <w:tc>
          <w:tcPr>
            <w:tcW w:w="2805" w:type="dxa"/>
            <w:gridSpan w:val="3"/>
            <w:tcBorders/>
            <w:vAlign w:val="center"/>
          </w:tcPr>
          <w:p>
            <w:pPr>
              <w:pStyle w:val="TableContents"/>
              <w:bidi w:val="0"/>
              <w:spacing w:before="0" w:after="283"/>
              <w:jc w:val="left"/>
              <w:rPr>
                <w:b/>
                <w:sz w:val="20"/>
              </w:rPr>
            </w:pPr>
            <w:r>
              <w:rPr>
                <w:b/>
                <w:sz w:val="20"/>
              </w:rPr>
              <w:t>ALPHATON CAPITAL CORP</w:t>
            </w:r>
          </w:p>
        </w:tc>
      </w:tr>
      <w:tr>
        <w:trPr/>
        <w:tc>
          <w:tcPr>
            <w:tcW w:w="2015" w:type="dxa"/>
            <w:tcBorders/>
            <w:vAlign w:val="center"/>
          </w:tcPr>
          <w:p>
            <w:pPr>
              <w:pStyle w:val="TableContents"/>
              <w:bidi w:val="0"/>
              <w:spacing w:before="0" w:after="283"/>
              <w:jc w:val="left"/>
              <w:rPr/>
            </w:pPr>
            <w:r>
              <w:rPr/>
              <w:t> </w:t>
            </w:r>
          </w:p>
        </w:tc>
        <w:tc>
          <w:tcPr>
            <w:tcW w:w="2805" w:type="dxa"/>
            <w:gridSpan w:val="3"/>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sz w:val="20"/>
              </w:rPr>
            </w:pPr>
            <w:r>
              <w:rPr>
                <w:sz w:val="20"/>
              </w:rPr>
              <w:t>Dated: January 15, 2026</w:t>
            </w:r>
          </w:p>
        </w:tc>
        <w:tc>
          <w:tcPr>
            <w:tcW w:w="320" w:type="dxa"/>
            <w:tcBorders/>
            <w:vAlign w:val="center"/>
          </w:tcPr>
          <w:p>
            <w:pPr>
              <w:pStyle w:val="TableContents"/>
              <w:bidi w:val="0"/>
              <w:spacing w:before="0" w:after="283"/>
              <w:jc w:val="left"/>
              <w:rPr>
                <w:sz w:val="20"/>
              </w:rPr>
            </w:pPr>
            <w:r>
              <w:rPr>
                <w:sz w:val="20"/>
              </w:rPr>
              <w:t>By:</w:t>
            </w:r>
          </w:p>
        </w:tc>
        <w:tc>
          <w:tcPr>
            <w:tcW w:w="248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Wes Levitt</w:t>
            </w:r>
          </w:p>
        </w:tc>
      </w:tr>
      <w:tr>
        <w:trPr/>
        <w:tc>
          <w:tcPr>
            <w:tcW w:w="201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1895" w:type="dxa"/>
            <w:tcBorders/>
            <w:vAlign w:val="center"/>
          </w:tcPr>
          <w:p>
            <w:pPr>
              <w:pStyle w:val="TableContents"/>
              <w:bidi w:val="0"/>
              <w:spacing w:before="0" w:after="283"/>
              <w:jc w:val="left"/>
              <w:rPr>
                <w:sz w:val="20"/>
              </w:rPr>
            </w:pPr>
            <w:r>
              <w:rPr>
                <w:sz w:val="20"/>
              </w:rPr>
              <w:t>Wes Levitt</w:t>
            </w:r>
          </w:p>
        </w:tc>
      </w:tr>
      <w:tr>
        <w:trPr/>
        <w:tc>
          <w:tcPr>
            <w:tcW w:w="201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ind w:left="0" w:right="0" w:hanging="0"/>
        <w:jc w:val="right"/>
        <w:rPr>
          <w:b/>
          <w:sz w:val="20"/>
        </w:rPr>
      </w:pPr>
      <w:bookmarkStart w:id="2" w:name="a_001"/>
      <w:bookmarkEnd w:id="2"/>
      <w:r>
        <w:rPr>
          <w:b/>
          <w:sz w:val="20"/>
        </w:rPr>
        <w:t>Exhibit 4.1</w:t>
      </w:r>
    </w:p>
    <w:p>
      <w:pPr>
        <w:pStyle w:val="TextBody"/>
        <w:bidi w:val="0"/>
        <w:spacing w:before="0" w:after="0"/>
        <w:ind w:left="0" w:right="0" w:firstLine="1890"/>
        <w:jc w:val="left"/>
        <w:rPr/>
      </w:pPr>
      <w:r>
        <w:rPr/>
        <w:t> </w:t>
      </w:r>
    </w:p>
    <w:p>
      <w:pPr>
        <w:pStyle w:val="TextBody"/>
        <w:bidi w:val="0"/>
        <w:spacing w:before="0" w:after="0"/>
        <w:ind w:left="0" w:right="0" w:hanging="0"/>
        <w:jc w:val="center"/>
        <w:rPr>
          <w:b/>
          <w:sz w:val="20"/>
        </w:rPr>
      </w:pPr>
      <w:r>
        <w:rPr>
          <w:b/>
          <w:sz w:val="20"/>
        </w:rPr>
        <w:t>PREFUNDED ORDINARY SHARE PURCHASE WARRANT</w:t>
      </w:r>
    </w:p>
    <w:p>
      <w:pPr>
        <w:pStyle w:val="TextBody"/>
        <w:bidi w:val="0"/>
        <w:spacing w:before="0" w:after="0"/>
        <w:ind w:left="0" w:right="0" w:hanging="0"/>
        <w:jc w:val="both"/>
        <w:rPr/>
      </w:pPr>
      <w:r>
        <w:rPr/>
        <w:t> </w:t>
      </w:r>
    </w:p>
    <w:p>
      <w:pPr>
        <w:pStyle w:val="TextBody"/>
        <w:bidi w:val="0"/>
        <w:spacing w:before="0" w:after="0"/>
        <w:ind w:left="0" w:right="0" w:hanging="0"/>
        <w:jc w:val="center"/>
        <w:rPr>
          <w:b/>
          <w:caps/>
          <w:sz w:val="20"/>
        </w:rPr>
      </w:pPr>
      <w:r>
        <w:rPr>
          <w:b/>
          <w:caps/>
          <w:sz w:val="20"/>
        </w:rPr>
        <w:t>alphaton capital corp</w:t>
      </w:r>
    </w:p>
    <w:p>
      <w:pPr>
        <w:pStyle w:val="TextBody"/>
        <w:bidi w:val="0"/>
        <w:spacing w:before="0" w:after="0"/>
        <w:ind w:left="0" w:right="0" w:hanging="0"/>
        <w:jc w:val="center"/>
        <w:rPr/>
      </w:pPr>
      <w:r>
        <w:rPr/>
        <w:t> </w:t>
      </w:r>
    </w:p>
    <w:tbl>
      <w:tblPr>
        <w:tblW w:w="6040" w:type="dxa"/>
        <w:jc w:val="left"/>
        <w:tblInd w:w="0" w:type="dxa"/>
        <w:tblLayout w:type="fixed"/>
        <w:tblCellMar>
          <w:top w:w="0" w:type="dxa"/>
          <w:left w:w="0" w:type="dxa"/>
          <w:bottom w:w="0" w:type="dxa"/>
          <w:right w:w="0" w:type="dxa"/>
        </w:tblCellMar>
      </w:tblPr>
      <w:tblGrid>
        <w:gridCol w:w="2330"/>
        <w:gridCol w:w="3710"/>
      </w:tblGrid>
      <w:tr>
        <w:trPr/>
        <w:tc>
          <w:tcPr>
            <w:tcW w:w="2330" w:type="dxa"/>
            <w:tcBorders/>
            <w:vAlign w:val="center"/>
          </w:tcPr>
          <w:p>
            <w:pPr>
              <w:pStyle w:val="TableContents"/>
              <w:bidi w:val="0"/>
              <w:spacing w:before="0" w:after="283"/>
              <w:jc w:val="left"/>
              <w:rPr/>
            </w:pPr>
            <w:r>
              <w:rPr/>
              <w:t>Warrant Shares: ______</w:t>
            </w:r>
          </w:p>
        </w:tc>
        <w:tc>
          <w:tcPr>
            <w:tcW w:w="3710" w:type="dxa"/>
            <w:tcBorders/>
            <w:vAlign w:val="center"/>
          </w:tcPr>
          <w:p>
            <w:pPr>
              <w:pStyle w:val="TableContents"/>
              <w:bidi w:val="0"/>
              <w:spacing w:before="0" w:after="283"/>
              <w:jc w:val="right"/>
              <w:rPr/>
            </w:pPr>
            <w:r>
              <w:rPr/>
              <w:t>Initial Exercise Date: January 14, 2026</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THIS PREFUNDED ORDINARY SHARE PURCHASE WARRANT (the “</w:t>
      </w:r>
      <w:r>
        <w:rPr>
          <w:sz w:val="20"/>
          <w:u w:val="single"/>
        </w:rPr>
        <w:t>Warrant</w:t>
      </w:r>
      <w:r>
        <w:rPr>
          <w:sz w:val="20"/>
        </w:rPr>
        <w:t>”) certifies that, for value received, _____________ or its assigns (the “</w:t>
      </w:r>
      <w:r>
        <w:rPr>
          <w:sz w:val="20"/>
          <w:u w:val="single"/>
        </w:rPr>
        <w:t>Holder</w:t>
      </w:r>
      <w:r>
        <w:rPr>
          <w:sz w:val="20"/>
        </w:rPr>
        <w:t>”) is entitled, upon the terms and subject to the limitations on exercise and the conditions hereinafter set forth, at any time on or after the date hereof (the “</w:t>
      </w:r>
      <w:r>
        <w:rPr>
          <w:sz w:val="20"/>
          <w:u w:val="single"/>
        </w:rPr>
        <w:t>Initial Exercise Date</w:t>
      </w:r>
      <w:r>
        <w:rPr>
          <w:sz w:val="20"/>
        </w:rPr>
        <w:t>”) until this Warrant is exercised in full (the “</w:t>
      </w:r>
      <w:r>
        <w:rPr>
          <w:sz w:val="20"/>
          <w:u w:val="single"/>
        </w:rPr>
        <w:t>Termination Date</w:t>
      </w:r>
      <w:r>
        <w:rPr>
          <w:sz w:val="20"/>
        </w:rPr>
        <w:t>”) but not thereafter, to subscribe for and purchase from AlphaTON Capital Corp, a British Virgin Islands corporation (the “</w:t>
      </w:r>
      <w:r>
        <w:rPr>
          <w:sz w:val="20"/>
          <w:u w:val="single"/>
        </w:rPr>
        <w:t>Company</w:t>
      </w:r>
      <w:r>
        <w:rPr>
          <w:sz w:val="20"/>
        </w:rPr>
        <w:t>”), up to ______ Ordinary Shares (as subject to adjustment hereunder, the “</w:t>
      </w:r>
      <w:r>
        <w:rPr>
          <w:sz w:val="20"/>
          <w:u w:val="single"/>
        </w:rPr>
        <w:t>Warrant Shares</w:t>
      </w:r>
      <w:r>
        <w:rPr>
          <w:sz w:val="20"/>
        </w:rPr>
        <w:t>”) of Ordinary Share. The purchase price of one Ordinary Share under this Warrant shall be equal to the Exercise Price, as defined in Section 2(b).</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sz w:val="20"/>
          <w:u w:val="single"/>
        </w:rPr>
        <w:t>Section 1</w:t>
      </w:r>
      <w:r>
        <w:rPr>
          <w:sz w:val="20"/>
        </w:rPr>
        <w:t xml:space="preserve">. </w:t>
      </w:r>
      <w:r>
        <w:rPr>
          <w:sz w:val="20"/>
          <w:u w:val="single"/>
        </w:rPr>
        <w:t>Definitions</w:t>
      </w:r>
      <w:r>
        <w:rPr>
          <w:sz w:val="20"/>
        </w:rPr>
        <w:t>. Capitalized terms used and not otherwise defined herein shall have the meanings set forth in that certain Securities Purchase Agreement (the “</w:t>
      </w:r>
      <w:r>
        <w:rPr>
          <w:sz w:val="20"/>
          <w:u w:val="single"/>
        </w:rPr>
        <w:t>Purchase Agreement</w:t>
      </w:r>
      <w:r>
        <w:rPr>
          <w:sz w:val="20"/>
        </w:rPr>
        <w:t>”), dated January 13, 2026, among the Company and the purchasers signatory thereto.</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u w:val="single"/>
        </w:rPr>
        <w:t>Section 2</w:t>
      </w:r>
      <w:r>
        <w:rPr>
          <w:sz w:val="20"/>
        </w:rPr>
        <w:t xml:space="preserve">. </w:t>
      </w:r>
      <w:r>
        <w:rPr>
          <w:sz w:val="20"/>
          <w:u w:val="single"/>
        </w:rPr>
        <w:t>Exercise</w:t>
      </w:r>
      <w:r>
        <w:rPr>
          <w:sz w:val="20"/>
        </w:rPr>
        <w:t>.</w:t>
      </w:r>
    </w:p>
    <w:p>
      <w:pPr>
        <w:pStyle w:val="TextBody"/>
        <w:bidi w:val="0"/>
        <w:spacing w:before="0" w:after="0"/>
        <w:ind w:left="0" w:right="0" w:firstLine="720"/>
        <w:jc w:val="both"/>
        <w:rPr/>
      </w:pPr>
      <w:r>
        <w:rPr/>
        <w:t> </w:t>
      </w:r>
    </w:p>
    <w:p>
      <w:pPr>
        <w:pStyle w:val="TextBody"/>
        <w:bidi w:val="0"/>
        <w:spacing w:before="0" w:after="0"/>
        <w:ind w:left="720" w:right="0" w:firstLine="720"/>
        <w:jc w:val="both"/>
        <w:rPr>
          <w:sz w:val="20"/>
        </w:rPr>
      </w:pPr>
      <w:r>
        <w:rPr>
          <w:sz w:val="20"/>
        </w:rPr>
        <w:t xml:space="preserve">a)                  </w:t>
      </w:r>
      <w:r>
        <w:rPr>
          <w:sz w:val="20"/>
          <w:u w:val="single"/>
        </w:rPr>
        <w:t>Exercise of Warrant</w:t>
      </w:r>
      <w:r>
        <w:rPr>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sz w:val="20"/>
          <w:u w:val="single"/>
        </w:rPr>
        <w:t>Notice of Exercise</w:t>
      </w:r>
      <w:r>
        <w:rPr>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on the Trading Day of receipt of such notice. </w:t>
      </w:r>
      <w:r>
        <w:rPr>
          <w:b/>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72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b)                  </w:t>
      </w:r>
      <w:r>
        <w:rPr>
          <w:sz w:val="20"/>
          <w:u w:val="single"/>
        </w:rPr>
        <w:t>Exercise Price</w:t>
      </w:r>
      <w:r>
        <w:rPr>
          <w:sz w:val="20"/>
        </w:rPr>
        <w:t>. The aggregate exercise price of this Warrant, except for a nominal exercise price of $0.0001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Ordinary Share under this Warrant shall be $0.0001, subject to adjustment hereunder (the “</w:t>
      </w:r>
      <w:r>
        <w:rPr>
          <w:sz w:val="20"/>
          <w:u w:val="single"/>
        </w:rPr>
        <w:t>Exercise Price</w:t>
      </w:r>
      <w:r>
        <w:rPr>
          <w:sz w:val="20"/>
        </w:rPr>
        <w: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c)                  </w:t>
      </w:r>
      <w:r>
        <w:rPr>
          <w:sz w:val="20"/>
          <w:u w:val="single"/>
        </w:rPr>
        <w:t>Cashless Exercise</w:t>
      </w:r>
      <w:r>
        <w:rPr>
          <w:sz w:val="20"/>
        </w:rPr>
        <w:t>.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720" w:right="0" w:firstLine="720"/>
        <w:jc w:val="both"/>
        <w:rPr/>
      </w:pPr>
      <w:r>
        <w:rPr/>
        <w:t> </w:t>
      </w:r>
    </w:p>
    <w:p>
      <w:pPr>
        <w:pStyle w:val="TextBody"/>
        <w:bidi w:val="0"/>
        <w:spacing w:before="0" w:after="0"/>
        <w:ind w:left="2070" w:right="0" w:hanging="630"/>
        <w:jc w:val="both"/>
        <w:rPr>
          <w:sz w:val="20"/>
        </w:rPr>
      </w:pPr>
      <w:r>
        <w:rPr>
          <w:sz w:val="20"/>
        </w:rPr>
        <w:t>(A) = 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the highest Bid Price of the Ordinary Shares on the principal Trading Market as reported by Bloomberg L.P. (“</w:t>
      </w:r>
      <w:r>
        <w:rPr>
          <w:sz w:val="20"/>
          <w:u w:val="single"/>
        </w:rPr>
        <w:t>Bloomberg</w:t>
      </w:r>
      <w:r>
        <w:rPr>
          <w:sz w:val="20"/>
        </w:rPr>
        <w:t>”) within two (2) hours of the time of the Holder’s delivery of the Notice of Exercise pursuant to Section 2(a)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p>
      <w:pPr>
        <w:pStyle w:val="TextBody"/>
        <w:bidi w:val="0"/>
        <w:spacing w:before="0" w:after="0"/>
        <w:ind w:left="2160" w:right="0" w:hanging="720"/>
        <w:jc w:val="both"/>
        <w:rPr/>
      </w:pPr>
      <w:r>
        <w:rPr/>
        <w:t> </w:t>
      </w:r>
    </w:p>
    <w:p>
      <w:pPr>
        <w:pStyle w:val="TextBody"/>
        <w:bidi w:val="0"/>
        <w:spacing w:before="0" w:after="0"/>
        <w:ind w:left="2160" w:right="0" w:hanging="720"/>
        <w:jc w:val="both"/>
        <w:rPr>
          <w:sz w:val="20"/>
        </w:rPr>
      </w:pPr>
      <w:r>
        <w:rPr>
          <w:sz w:val="20"/>
        </w:rPr>
        <w:t>(B) = the Exercise Price of this Warrant, as adjusted hereunder; and</w:t>
      </w:r>
    </w:p>
    <w:p>
      <w:pPr>
        <w:pStyle w:val="TextBody"/>
        <w:bidi w:val="0"/>
        <w:spacing w:before="0" w:after="0"/>
        <w:ind w:left="2160" w:right="0" w:hanging="720"/>
        <w:jc w:val="both"/>
        <w:rPr/>
      </w:pPr>
      <w:r>
        <w:rPr/>
        <w:t> </w:t>
      </w:r>
    </w:p>
    <w:p>
      <w:pPr>
        <w:pStyle w:val="TextBody"/>
        <w:bidi w:val="0"/>
        <w:spacing w:before="0" w:after="0"/>
        <w:ind w:left="2070" w:right="0" w:hanging="630"/>
        <w:jc w:val="both"/>
        <w:rPr>
          <w:sz w:val="20"/>
        </w:rPr>
      </w:pPr>
      <w:r>
        <w:rPr>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spacing w:before="0" w:after="0"/>
        <w:ind w:left="2070" w:right="0" w:hanging="63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070" w:right="0" w:hanging="0"/>
        <w:jc w:val="both"/>
        <w:rPr/>
      </w:pPr>
      <w:r>
        <w:rPr/>
        <w:t> </w:t>
      </w:r>
    </w:p>
    <w:p>
      <w:pPr>
        <w:pStyle w:val="TextBody"/>
        <w:bidi w:val="0"/>
        <w:spacing w:before="0" w:after="0"/>
        <w:ind w:left="720" w:right="0" w:firstLine="720"/>
        <w:jc w:val="both"/>
        <w:rPr>
          <w:sz w:val="20"/>
          <w:shd w:fill="FFFFFF" w:val="clear"/>
        </w:rPr>
      </w:pPr>
      <w:r>
        <w:rPr>
          <w:sz w:val="20"/>
          <w:shd w:fill="FFFFFF" w:val="clear"/>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Bid Price</w:t>
      </w:r>
      <w:r>
        <w:rPr>
          <w:sz w:val="20"/>
        </w:rPr>
        <w:t>” means, for any date, the price determined by the first of the following clauses that applies: (a) if the Ordinary Shares are then listed or quoted on a Trading Market, the bid price of the Ordinary Share for the time in question (or the nearest preceding date) on the Trading Market on which the Ordinary Share is then listed or quoted as reported by Bloomberg (based on a Trading Day from 9:30 a.m. (New York City time) to 4:02 p.m. (New York City time)), (b)  if OTCQB or OTCQX is not a Trading Market, the volume weighted average price of the Ordinary Share for such date (or the nearest preceding date) on OTCQB or OTCQX as applicable, (c) if the Ordinary Shares are not then listed or quoted for trading on OTCQB or OTCQX and if prices for the Ordinary Share are then reported on The Pink Open Market (or a similar organization or agency succeeding to its functions of reporting prices), the most recent bid price per share of the Ordinary Share so reported, or (d) in all other cases, the fair market value of an Ordinary Share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VWAP</w:t>
      </w:r>
      <w:r>
        <w:rPr>
          <w:sz w:val="20"/>
        </w:rPr>
        <w:t>” means, for any date, the price determined by the first of the following clauses that applies: (a) if the Ordinary Shares are then listed or quoted on a Trading Market, the daily volume weighted average price of the Ordinary Share for such date (or the nearest preceding date) on the Trading Market on which the Ordinary Shares are then listed or quoted as reported by Bloomberg (based on a Trading Day from 9:30 a.m. (New York City time) to 4:02 p.m. (New York City time)), (b)  if the OTCQB Venture Market (“</w:t>
      </w:r>
      <w:r>
        <w:rPr>
          <w:sz w:val="20"/>
          <w:u w:val="single"/>
        </w:rPr>
        <w:t>OTCQB</w:t>
      </w:r>
      <w:r>
        <w:rPr>
          <w:sz w:val="20"/>
        </w:rPr>
        <w:t>”) or the OTCQX Best Market (“</w:t>
      </w:r>
      <w:r>
        <w:rPr>
          <w:sz w:val="20"/>
          <w:u w:val="single"/>
        </w:rPr>
        <w:t>OTCQX</w:t>
      </w:r>
      <w:r>
        <w:rPr>
          <w:sz w:val="20"/>
        </w:rPr>
        <w:t>”) is not a Trading Market, the volume weighted average price of the Ordinary Share for such date (or the nearest preceding date) on OTCQB or OTCQX as applicable, (c) if the Ordinary Shars are not then listed or quoted for trading on OTCQB or OTCQX and if prices for the Ordinary Share are then reported on the Pink Open Market (“</w:t>
      </w:r>
      <w:r>
        <w:rPr>
          <w:sz w:val="20"/>
          <w:u w:val="single"/>
        </w:rPr>
        <w:t>Pink Market</w:t>
      </w:r>
      <w:r>
        <w:rPr>
          <w:sz w:val="20"/>
        </w:rPr>
        <w:t>”) operated by the OTC Markets, Inc. (or a similar organization or agency succeeding to its functions of reporting prices), the most recent bid price per share of the Ordinary Share so reported, or (d) in all other cases, the fair market value of an Ordinary Share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ind w:left="720" w:right="0" w:firstLine="720"/>
        <w:jc w:val="both"/>
        <w:rPr/>
      </w:pPr>
      <w:r>
        <w:rPr/>
        <w:t> </w:t>
      </w:r>
    </w:p>
    <w:tbl>
      <w:tblPr>
        <w:tblW w:w="5000" w:type="pct"/>
        <w:jc w:val="left"/>
        <w:tblInd w:w="0" w:type="dxa"/>
        <w:tblLayout w:type="fixed"/>
        <w:tblCellMar>
          <w:top w:w="0" w:type="dxa"/>
          <w:left w:w="0" w:type="dxa"/>
          <w:bottom w:w="0" w:type="dxa"/>
          <w:right w:w="0" w:type="dxa"/>
        </w:tblCellMar>
      </w:tblPr>
      <w:tblGrid>
        <w:gridCol w:w="155"/>
        <w:gridCol w:w="880"/>
        <w:gridCol w:w="9170"/>
      </w:tblGrid>
      <w:tr>
        <w:trPr/>
        <w:tc>
          <w:tcPr>
            <w:tcW w:w="155"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pPr>
            <w:r>
              <w:rPr/>
              <w:t>d)</w:t>
            </w:r>
          </w:p>
        </w:tc>
        <w:tc>
          <w:tcPr>
            <w:tcW w:w="9170" w:type="dxa"/>
            <w:tcBorders/>
            <w:vAlign w:val="center"/>
          </w:tcPr>
          <w:p>
            <w:pPr>
              <w:pStyle w:val="TableContents"/>
              <w:bidi w:val="0"/>
              <w:spacing w:before="0" w:after="283"/>
              <w:jc w:val="both"/>
              <w:rPr/>
            </w:pPr>
            <w:r>
              <w:rPr>
                <w:u w:val="single"/>
              </w:rPr>
              <w:t>Mechanics of Exercise</w:t>
            </w:r>
            <w:r>
              <w:rPr/>
              <w:t>.</w:t>
            </w:r>
          </w:p>
        </w:tc>
      </w:tr>
    </w:tbl>
    <w:p>
      <w:pPr>
        <w:pStyle w:val="TextBody"/>
        <w:bidi w:val="0"/>
        <w:spacing w:before="0" w:after="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160" w:right="0" w:firstLine="720"/>
        <w:jc w:val="both"/>
        <w:rPr>
          <w:sz w:val="20"/>
        </w:rPr>
      </w:pPr>
      <w:r>
        <w:rPr>
          <w:sz w:val="20"/>
        </w:rPr>
        <w:t xml:space="preserve">i.            </w:t>
      </w:r>
      <w:r>
        <w:rPr>
          <w:sz w:val="20"/>
          <w:u w:val="single"/>
        </w:rPr>
        <w:t>Delivery of Warrant Shares Upon Exercise</w:t>
      </w:r>
      <w:r>
        <w:rPr>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sz w:val="20"/>
          <w:u w:val="single"/>
        </w:rPr>
        <w:t>DWAC</w:t>
      </w:r>
      <w:r>
        <w:rPr>
          <w:sz w:val="20"/>
        </w:rPr>
        <w:t>”) if the Company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sz w:val="20"/>
          <w:u w:val="single"/>
        </w:rPr>
        <w:t>Warrant Share Delivery Date</w:t>
      </w:r>
      <w:r>
        <w:rPr>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Ordinary Shares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sz w:val="20"/>
          <w:u w:val="single"/>
        </w:rPr>
        <w:t>Standard Settlement Period</w:t>
      </w:r>
      <w:r>
        <w:rPr>
          <w:sz w:val="20"/>
        </w:rPr>
        <w:t>” means the standard settlement period, expressed in a number of Trading Days, on the Company’s primary Trading Market with respect to the Ordinary Shares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pStyle w:val="TextBody"/>
        <w:bidi w:val="0"/>
        <w:spacing w:before="0" w:after="0"/>
        <w:ind w:left="2160" w:right="0" w:firstLine="720"/>
        <w:jc w:val="both"/>
        <w:rPr/>
      </w:pPr>
      <w:r>
        <w:rPr/>
        <w:t> </w:t>
      </w:r>
    </w:p>
    <w:p>
      <w:pPr>
        <w:pStyle w:val="TextBody"/>
        <w:bidi w:val="0"/>
        <w:spacing w:before="0" w:after="0"/>
        <w:ind w:left="2160" w:right="0" w:firstLine="720"/>
        <w:jc w:val="both"/>
        <w:rPr>
          <w:sz w:val="20"/>
        </w:rPr>
      </w:pPr>
      <w:r>
        <w:rPr>
          <w:sz w:val="20"/>
        </w:rPr>
        <w:t xml:space="preserve">ii.            </w:t>
      </w:r>
      <w:r>
        <w:rPr>
          <w:sz w:val="20"/>
          <w:u w:val="single"/>
        </w:rPr>
        <w:t>Delivery of New Warrants Upon Exercise</w:t>
      </w:r>
      <w:r>
        <w:rPr>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216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160" w:right="0" w:hanging="0"/>
        <w:jc w:val="both"/>
        <w:rPr/>
      </w:pPr>
      <w:r>
        <w:rPr/>
        <w:t> </w:t>
      </w:r>
    </w:p>
    <w:p>
      <w:pPr>
        <w:pStyle w:val="TextBody"/>
        <w:bidi w:val="0"/>
        <w:spacing w:before="0" w:after="0"/>
        <w:ind w:left="2160" w:right="0" w:firstLine="720"/>
        <w:jc w:val="both"/>
        <w:rPr>
          <w:sz w:val="20"/>
        </w:rPr>
      </w:pPr>
      <w:r>
        <w:rPr>
          <w:sz w:val="20"/>
        </w:rPr>
        <w:t xml:space="preserve">iii.            </w:t>
      </w:r>
      <w:r>
        <w:rPr>
          <w:sz w:val="20"/>
          <w:u w:val="single"/>
        </w:rPr>
        <w:t>Rescission Rights</w:t>
      </w:r>
      <w:r>
        <w:rPr>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0"/>
        <w:ind w:left="2160" w:right="0" w:firstLine="720"/>
        <w:jc w:val="both"/>
        <w:rPr/>
      </w:pPr>
      <w:r>
        <w:rPr/>
        <w:t> </w:t>
      </w:r>
    </w:p>
    <w:p>
      <w:pPr>
        <w:pStyle w:val="TextBody"/>
        <w:bidi w:val="0"/>
        <w:spacing w:before="0" w:after="0"/>
        <w:ind w:left="2160" w:right="0" w:firstLine="720"/>
        <w:jc w:val="both"/>
        <w:rPr>
          <w:sz w:val="20"/>
        </w:rPr>
      </w:pPr>
      <w:r>
        <w:rPr>
          <w:sz w:val="20"/>
        </w:rPr>
        <w:t xml:space="preserve">iv.            </w:t>
      </w:r>
      <w:r>
        <w:rPr>
          <w:sz w:val="20"/>
          <w:u w:val="single"/>
        </w:rPr>
        <w:t>Compensation for Buy-In on Failure to Timely Deliver Warrant Shares Upon Exercise</w:t>
      </w:r>
      <w:r>
        <w:rPr>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Ordinary Shares to deliver in satisfaction of a sale by the Holder of the Warrant Shares which the Holder anticipated receiving upon such exercise (a “</w:t>
      </w:r>
      <w:r>
        <w:rPr>
          <w:sz w:val="20"/>
          <w:u w:val="single"/>
        </w:rPr>
        <w:t>Buy-In</w:t>
      </w:r>
      <w:r>
        <w:rPr>
          <w:sz w:val="20"/>
        </w:rPr>
        <w:t>”), then the Company shall (A) pay in cash to the Holder the amount, if any, by which (x) the Holder’s total purchase price (including brokerage commissions, if any) for the Ordinary Shares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Ordinary Shares that would have been issued had the Company timely complied with its exercise and delivery obligations hereunder. For example, if the Holder purchases Ordinary Shares having a total purchase price of $11,000 to cover a Buy-In with respect to an attempted exercise of Ordinary Shares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Ordinary Shares upon exercise of the Warrant as required pursuant to the terms hereof.</w:t>
      </w:r>
    </w:p>
    <w:p>
      <w:pPr>
        <w:pStyle w:val="TextBody"/>
        <w:bidi w:val="0"/>
        <w:spacing w:before="0" w:after="0"/>
        <w:ind w:left="216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160" w:right="0" w:hanging="0"/>
        <w:jc w:val="both"/>
        <w:rPr/>
      </w:pPr>
      <w:r>
        <w:rPr/>
        <w:t> </w:t>
      </w:r>
    </w:p>
    <w:p>
      <w:pPr>
        <w:pStyle w:val="TextBody"/>
        <w:bidi w:val="0"/>
        <w:spacing w:before="0" w:after="0"/>
        <w:ind w:left="2160" w:right="0" w:firstLine="720"/>
        <w:jc w:val="both"/>
        <w:rPr>
          <w:sz w:val="20"/>
        </w:rPr>
      </w:pPr>
      <w:r>
        <w:rPr>
          <w:sz w:val="20"/>
        </w:rPr>
        <w:t xml:space="preserve">v.            </w:t>
      </w:r>
      <w:r>
        <w:rPr>
          <w:sz w:val="20"/>
          <w:u w:val="single"/>
        </w:rPr>
        <w:t>No Fractional Shares or Scrip</w:t>
      </w:r>
      <w:r>
        <w:rPr>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2160" w:right="0" w:firstLine="720"/>
        <w:jc w:val="both"/>
        <w:rPr/>
      </w:pPr>
      <w:r>
        <w:rPr/>
        <w:t> </w:t>
      </w:r>
    </w:p>
    <w:p>
      <w:pPr>
        <w:pStyle w:val="TextBody"/>
        <w:bidi w:val="0"/>
        <w:spacing w:before="0" w:after="0"/>
        <w:ind w:left="2160" w:right="0" w:firstLine="720"/>
        <w:jc w:val="both"/>
        <w:rPr>
          <w:sz w:val="20"/>
        </w:rPr>
      </w:pPr>
      <w:r>
        <w:rPr>
          <w:sz w:val="20"/>
        </w:rPr>
        <w:t xml:space="preserve">vi.            </w:t>
      </w:r>
      <w:r>
        <w:rPr>
          <w:sz w:val="20"/>
          <w:u w:val="single"/>
        </w:rPr>
        <w:t>Charges, Taxes and Expenses</w:t>
      </w:r>
      <w:r>
        <w:rPr>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sz w:val="20"/>
          <w:u w:val="single"/>
        </w:rPr>
        <w:t>provided</w:t>
      </w:r>
      <w:r>
        <w:rPr>
          <w:sz w:val="20"/>
        </w:rPr>
        <w:t xml:space="preserve">, </w:t>
      </w:r>
      <w:r>
        <w:rPr>
          <w:sz w:val="20"/>
          <w:u w:val="single"/>
        </w:rPr>
        <w:t>however</w:t>
      </w:r>
      <w:r>
        <w:rPr>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2160" w:right="0" w:firstLine="720"/>
        <w:jc w:val="both"/>
        <w:rPr/>
      </w:pPr>
      <w:r>
        <w:rPr/>
        <w:t> </w:t>
      </w:r>
    </w:p>
    <w:p>
      <w:pPr>
        <w:pStyle w:val="TextBody"/>
        <w:bidi w:val="0"/>
        <w:spacing w:before="0" w:after="0"/>
        <w:ind w:left="2160" w:right="0" w:firstLine="720"/>
        <w:jc w:val="both"/>
        <w:rPr>
          <w:sz w:val="20"/>
        </w:rPr>
      </w:pPr>
      <w:r>
        <w:rPr>
          <w:sz w:val="20"/>
        </w:rPr>
        <w:t xml:space="preserve">vii.            </w:t>
      </w:r>
      <w:r>
        <w:rPr>
          <w:sz w:val="20"/>
          <w:u w:val="single"/>
        </w:rPr>
        <w:t>Closing of Books</w:t>
      </w:r>
      <w:r>
        <w:rPr>
          <w:sz w:val="20"/>
        </w:rPr>
        <w:t>. The Company will not close its stockholder books or records in any manner which prevents the timely exercise of this Warrant, pursuant to the terms hereof.</w:t>
      </w:r>
    </w:p>
    <w:p>
      <w:pPr>
        <w:pStyle w:val="TextBody"/>
        <w:bidi w:val="0"/>
        <w:spacing w:before="0" w:after="0"/>
        <w:ind w:left="2160" w:right="0" w:firstLine="72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9"/>
        <w:gridCol w:w="10039"/>
      </w:tblGrid>
      <w:tr>
        <w:trPr/>
        <w:tc>
          <w:tcPr>
            <w:tcW w:w="3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pPr>
            <w:r>
              <w:rPr/>
              <w:t>e)</w:t>
            </w:r>
          </w:p>
        </w:tc>
        <w:tc>
          <w:tcPr>
            <w:tcW w:w="10039" w:type="dxa"/>
            <w:tcBorders/>
            <w:vAlign w:val="center"/>
          </w:tcPr>
          <w:p>
            <w:pPr>
              <w:pStyle w:val="TableContents"/>
              <w:bidi w:val="0"/>
              <w:spacing w:before="0" w:after="283"/>
              <w:jc w:val="both"/>
              <w:rPr/>
            </w:pPr>
            <w:r>
              <w:rPr>
                <w:u w:val="single"/>
              </w:rPr>
              <w:t>Holder’s Exercise Limitations</w:t>
            </w:r>
            <w:r>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u w:val="single"/>
              </w:rPr>
              <w:t>Attribution Parties</w:t>
            </w:r>
            <w:r>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issuable upon exercise of this Warrant with respect to which such determination is being made, but shall exclude the number of Ordinary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2(e),</w:t>
            </w:r>
          </w:p>
        </w:tc>
      </w:tr>
    </w:tbl>
    <w:p>
      <w:pPr>
        <w:pStyle w:val="TextBody"/>
        <w:bidi w:val="0"/>
        <w:spacing w:before="0" w:after="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ind w:left="720" w:right="0" w:hanging="0"/>
        <w:jc w:val="both"/>
        <w:rPr/>
      </w:pPr>
      <w:r>
        <w:rPr/>
        <w:t>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Ordinary Shares, a Holder may rely on the number of outstanding Ordinary Shares as reflected in (A) the Company’s most recent periodic or annual report filed with the Commission, as the case may be, (B) a more recent public announcement by the Company or (C) a more recent written notice by the Company or the Transfer Agent setting forth the number of Ordinary Shares outstanding.  Upon the written or oral request of a Holder, the Company shall within one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u w:val="single"/>
        </w:rPr>
        <w:t>Beneficial Ownership Limitation</w:t>
      </w:r>
      <w:r>
        <w:rPr/>
        <w:t>” shall be [4.99%] [9.99%] of the number of Ordinary Shares outstanding immediately after giving effect to the issuance of Ordinary Shares issuable upon exercise of this Warrant. The Holder, upon notice to the Company, may increase or decrease the Beneficial Ownership Limitation provisions of this Section 2(e), provided that the Beneficial Ownership Limitation in no event exceeds 9.99% of the number of Ordinary Shares outstanding immediately after giving effect to the issuance of Ordinary Shares upon exercise of this Warrant held by the Holder and the provisions of this Section 2(e) shall continue to apply. Any increase in the Beneficial Ownership Limitation will not be effective until the 61</w:t>
      </w:r>
      <w:r>
        <w:rPr>
          <w:position w:val="8"/>
          <w:sz w:val="19"/>
        </w:rPr>
        <w:t>st</w:t>
      </w:r>
      <w:r>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ind w:left="800" w:right="0" w:hanging="0"/>
        <w:jc w:val="left"/>
        <w:rPr/>
      </w:pPr>
      <w:r>
        <w:rPr/>
        <w:t> </w:t>
      </w:r>
    </w:p>
    <w:p>
      <w:pPr>
        <w:pStyle w:val="TextBody"/>
        <w:bidi w:val="0"/>
        <w:spacing w:before="0" w:after="0"/>
        <w:ind w:left="0" w:right="0" w:firstLine="720"/>
        <w:jc w:val="both"/>
        <w:rPr>
          <w:sz w:val="20"/>
        </w:rPr>
      </w:pPr>
      <w:r>
        <w:rPr>
          <w:sz w:val="20"/>
          <w:u w:val="single"/>
        </w:rPr>
        <w:t>Section 3</w:t>
      </w:r>
      <w:r>
        <w:rPr>
          <w:sz w:val="20"/>
        </w:rPr>
        <w:t xml:space="preserve">. </w:t>
      </w:r>
      <w:r>
        <w:rPr>
          <w:sz w:val="20"/>
          <w:u w:val="single"/>
        </w:rPr>
        <w:t>Certain Adjustments</w:t>
      </w:r>
      <w:r>
        <w:rPr>
          <w:sz w:val="20"/>
        </w:rPr>
        <w:t>.</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720" w:right="0" w:firstLine="720"/>
        <w:jc w:val="both"/>
        <w:rPr>
          <w:sz w:val="20"/>
        </w:rPr>
      </w:pPr>
      <w:r>
        <w:rPr>
          <w:sz w:val="20"/>
        </w:rPr>
        <w:t xml:space="preserve">a)                  </w:t>
      </w:r>
      <w:r>
        <w:rPr>
          <w:sz w:val="20"/>
          <w:u w:val="single"/>
        </w:rPr>
        <w:t>Stock Dividends and Splits</w:t>
      </w:r>
      <w:r>
        <w:rPr>
          <w:sz w:val="20"/>
        </w:rPr>
        <w:t>. If the Company, at any time while this Warrant is outstanding: (i) pays a stock dividend or otherwise makes a distribution or distributions on its Ordinary Shares or any other equity or equity equivalent securities payable in Ordinary Shares (which, for avoidance of doubt, shall not include any Ordinary Shares issued by the Company upon exercise of this Warrant), (ii) subdivides outstanding Ordinary Shares into a larger number of shares, (iii) combines (including by way of reverse stock split) outstanding Ordinary Shares into a smaller number of shares, or (iv) issues by reclassification of Ordinary Shares any shares of capital stock of the Company, then in each case the Exercise Price shall be multiplied by a fraction of which the numerator shall be the number of Ordinary Shares (excluding treasury shares, if any) outstanding immediately before such event and of which the denominator shall be the number of Ordinary Shares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b)                  [RESERVED]</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c)                  </w:t>
      </w:r>
      <w:r>
        <w:rPr>
          <w:sz w:val="20"/>
          <w:u w:val="single"/>
        </w:rPr>
        <w:t>Subsequent Rights Offerings</w:t>
      </w:r>
      <w:r>
        <w:rPr>
          <w:sz w:val="20"/>
        </w:rPr>
        <w:t>. In addition to any adjustments pursuant to Section 3(a) above, if at any time the Company grants, issues or sells any Ordinary Share Equivalents or rights to purchase stock, warrants, securities or other property pro rata to the record holders of any class of Ordinary Shares (the “</w:t>
      </w:r>
      <w:r>
        <w:rPr>
          <w:sz w:val="20"/>
          <w:u w:val="single"/>
        </w:rPr>
        <w:t>Purchase Rights</w:t>
      </w:r>
      <w:r>
        <w:rPr>
          <w:sz w:val="20"/>
        </w:rPr>
        <w:t>”), then the Holder will be entitled to acquire, upon the terms applicable to such Purchase Rights, the aggregate Purchase Rights which the Holder could have acquired if the Holder had held the number of Ordinary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Ordinary Shares are to be determined for the grant, issue or sale of such Purchase Rights (</w:t>
      </w:r>
      <w:r>
        <w:rPr>
          <w:sz w:val="20"/>
          <w:u w:val="single"/>
        </w:rPr>
        <w:t>provided</w:t>
      </w:r>
      <w:r>
        <w:rPr>
          <w:sz w:val="20"/>
        </w:rPr>
        <w:t xml:space="preserve">, </w:t>
      </w:r>
      <w:r>
        <w:rPr>
          <w:sz w:val="20"/>
          <w:u w:val="single"/>
        </w:rPr>
        <w:t>however</w:t>
      </w:r>
      <w:r>
        <w:rPr>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Ordinary Shares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d)                  </w:t>
      </w:r>
      <w:r>
        <w:rPr>
          <w:sz w:val="20"/>
          <w:u w:val="single"/>
        </w:rPr>
        <w:t>Pro Rata Distributions</w:t>
      </w:r>
      <w:r>
        <w:rPr>
          <w:sz w:val="20"/>
        </w:rPr>
        <w:t>. During such time as this Warrant is outstanding, if the Company shall declare or make any dividend or other distribution of its assets (or rights to acquire its assets) to holders of Ordinary Shares,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sz w:val="20"/>
          <w:u w:val="single"/>
        </w:rPr>
        <w:t>Distribution</w:t>
      </w:r>
      <w:r>
        <w:rPr>
          <w:sz w:val="20"/>
        </w:rPr>
        <w:t>”), at</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pPr>
      <w:r>
        <w:rPr/>
        <w:t> </w:t>
      </w:r>
    </w:p>
    <w:p>
      <w:pPr>
        <w:pStyle w:val="TextBody"/>
        <w:bidi w:val="0"/>
        <w:spacing w:before="0" w:after="0"/>
        <w:ind w:left="720" w:right="0" w:hanging="0"/>
        <w:jc w:val="both"/>
        <w:rPr>
          <w:sz w:val="20"/>
        </w:rPr>
      </w:pPr>
      <w:r>
        <w:rPr>
          <w:sz w:val="20"/>
        </w:rPr>
        <w:t>any time after the issuance of this Warrant, then, in each such case, the Holder shall be entitled to participate in such Distribution to the same extent that the Holder would have participated therein if the Holder had held the number of Ordinary Shares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Ordinary Shares are to be determined for the participation in such Distribution (</w:t>
      </w:r>
      <w:r>
        <w:rPr>
          <w:sz w:val="20"/>
          <w:u w:val="single"/>
        </w:rPr>
        <w:t>provided</w:t>
      </w:r>
      <w:r>
        <w:rPr>
          <w:sz w:val="20"/>
        </w:rPr>
        <w:t xml:space="preserve">, </w:t>
      </w:r>
      <w:r>
        <w:rPr>
          <w:sz w:val="20"/>
          <w:u w:val="single"/>
        </w:rPr>
        <w:t>however</w:t>
      </w:r>
      <w:r>
        <w:rPr>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Ordinary Shares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pStyle w:val="TextBody"/>
        <w:bidi w:val="0"/>
        <w:spacing w:before="0" w:after="0"/>
        <w:ind w:left="720" w:right="0" w:hanging="0"/>
        <w:jc w:val="both"/>
        <w:rPr/>
      </w:pPr>
      <w:r>
        <w:rPr/>
        <w:t> </w:t>
      </w:r>
    </w:p>
    <w:p>
      <w:pPr>
        <w:pStyle w:val="TextBody"/>
        <w:bidi w:val="0"/>
        <w:spacing w:before="0" w:after="0"/>
        <w:ind w:left="720" w:right="0" w:firstLine="720"/>
        <w:jc w:val="both"/>
        <w:rPr>
          <w:sz w:val="20"/>
        </w:rPr>
      </w:pPr>
      <w:r>
        <w:rPr>
          <w:sz w:val="20"/>
        </w:rPr>
        <w:t xml:space="preserve">e)                  </w:t>
      </w:r>
      <w:r>
        <w:rPr>
          <w:sz w:val="20"/>
          <w:u w:val="single"/>
        </w:rPr>
        <w:t>Fundamental Transaction</w:t>
      </w:r>
      <w:r>
        <w:rPr>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greater than 50% of the outstanding Ordinary Shares or greater than 50% of the voting power of the common equity of the Company,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Ordinary Shares or greater than 50% of the voting power of the common equity of the Company (each a “</w:t>
      </w:r>
      <w:r>
        <w:rPr>
          <w:sz w:val="20"/>
          <w:u w:val="single"/>
        </w:rPr>
        <w:t>Fundamental Transaction</w:t>
      </w:r>
      <w:r>
        <w:rPr>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Ordinary Shares of the successor or acquiring corporation or of the Company, if it is the surviving corporation, and any additional consideration (the “</w:t>
      </w:r>
      <w:r>
        <w:rPr>
          <w:sz w:val="20"/>
          <w:u w:val="single"/>
        </w:rPr>
        <w:t>Alternate Consideration</w:t>
      </w:r>
      <w:r>
        <w:rPr>
          <w:sz w:val="20"/>
        </w:rPr>
        <w:t>”) receivable as a result of such Fundamental Transaction by a holder of the number of Ordinary Shares for which this Warrant is exercisable immediately prior to such Fundamental Transaction (without</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pPr>
      <w:r>
        <w:rPr/>
        <w:t> </w:t>
      </w:r>
    </w:p>
    <w:p>
      <w:pPr>
        <w:pStyle w:val="TextBody"/>
        <w:bidi w:val="0"/>
        <w:spacing w:before="0" w:after="0"/>
        <w:ind w:left="720" w:right="0" w:hanging="0"/>
        <w:jc w:val="both"/>
        <w:rPr>
          <w:sz w:val="20"/>
        </w:rPr>
      </w:pPr>
      <w:r>
        <w:rPr>
          <w:sz w:val="20"/>
        </w:rPr>
        <w:t>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Shares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sz w:val="20"/>
          <w:u w:val="single"/>
        </w:rPr>
        <w:t>Successor Entity</w:t>
      </w:r>
      <w:r>
        <w:rPr>
          <w:sz w:val="20"/>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Ordinary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3(e) regardless of (i) whether the Company has sufficient authorized Ordinary Shares for the issuance of Warrant Shares and/or (ii) whether a Fundamental Transaction occurs prior to the Initial Exercise Date.</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f)                   </w:t>
      </w:r>
      <w:r>
        <w:rPr>
          <w:sz w:val="20"/>
          <w:u w:val="single"/>
        </w:rPr>
        <w:t>Calculations</w:t>
      </w:r>
      <w:r>
        <w:rPr>
          <w:sz w:val="20"/>
        </w:rPr>
        <w:t>. All calculations under this Section 3 shall be made to the nearest cent or the nearest 1/100th of a share, as the case may be. For purposes of this Section 3, the number of Ordinary Shares deemed to be issued and outstanding as of a given date shall be the sum of the number of Ordinary Shares (excluding treasury shares, if any) issued and outstanding.</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pPr>
      <w:r>
        <w:rPr/>
        <w:t> </w:t>
      </w:r>
    </w:p>
    <w:p>
      <w:pPr>
        <w:pStyle w:val="TextBody"/>
        <w:bidi w:val="0"/>
        <w:spacing w:before="0" w:after="0"/>
        <w:ind w:left="720" w:right="0" w:firstLine="720"/>
        <w:jc w:val="both"/>
        <w:rPr>
          <w:sz w:val="20"/>
        </w:rPr>
      </w:pPr>
      <w:r>
        <w:rPr>
          <w:sz w:val="20"/>
        </w:rPr>
        <w:t xml:space="preserve">g)                  </w:t>
      </w:r>
      <w:r>
        <w:rPr>
          <w:sz w:val="20"/>
          <w:u w:val="single"/>
        </w:rPr>
        <w:t>Notice to Holder</w:t>
      </w:r>
      <w:r>
        <w:rPr>
          <w:sz w:val="20"/>
        </w:rPr>
        <w:t>.</w:t>
      </w:r>
    </w:p>
    <w:p>
      <w:pPr>
        <w:pStyle w:val="TextBody"/>
        <w:bidi w:val="0"/>
        <w:spacing w:before="0" w:after="0"/>
        <w:ind w:left="720" w:right="0" w:firstLine="720"/>
        <w:jc w:val="both"/>
        <w:rPr/>
      </w:pPr>
      <w:r>
        <w:rPr/>
        <w:t> </w:t>
      </w:r>
    </w:p>
    <w:p>
      <w:pPr>
        <w:pStyle w:val="TextBody"/>
        <w:bidi w:val="0"/>
        <w:spacing w:before="0" w:after="0"/>
        <w:ind w:left="2160" w:right="0" w:firstLine="720"/>
        <w:jc w:val="both"/>
        <w:rPr>
          <w:sz w:val="20"/>
        </w:rPr>
      </w:pPr>
      <w:r>
        <w:rPr>
          <w:sz w:val="20"/>
        </w:rPr>
        <w:t xml:space="preserve">i.            </w:t>
      </w:r>
      <w:r>
        <w:rPr>
          <w:sz w:val="20"/>
          <w:u w:val="single"/>
        </w:rPr>
        <w:t>Adjustment to Exercise Price</w:t>
      </w:r>
      <w:r>
        <w:rPr>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2160" w:right="0" w:firstLine="720"/>
        <w:jc w:val="both"/>
        <w:rPr/>
      </w:pPr>
      <w:r>
        <w:rPr/>
        <w:t> </w:t>
      </w:r>
    </w:p>
    <w:p>
      <w:pPr>
        <w:pStyle w:val="TextBody"/>
        <w:bidi w:val="0"/>
        <w:spacing w:before="0" w:after="0"/>
        <w:ind w:left="2160" w:right="0" w:firstLine="720"/>
        <w:jc w:val="both"/>
        <w:rPr>
          <w:sz w:val="20"/>
        </w:rPr>
      </w:pPr>
      <w:r>
        <w:rPr>
          <w:sz w:val="20"/>
        </w:rPr>
        <w:t xml:space="preserve">ii.            </w:t>
      </w:r>
      <w:r>
        <w:rPr>
          <w:sz w:val="20"/>
          <w:u w:val="single"/>
        </w:rPr>
        <w:t>Notice to Allow Exercise by Holder</w:t>
      </w:r>
      <w:r>
        <w:rPr>
          <w:sz w:val="20"/>
        </w:rPr>
        <w:t>. If (A) the Company shall declare a dividend (or any other distribution in whatever form) on the Ordinary Shares, (B) the Company shall declare a special nonrecurring cash dividend on or a redemption of the Ordinary Share, (C) the Company shall authorize the granting to all holders of the Ordinary Shares rights or warrants to subscribe for or purchase any shares of capital stock of any class or of any rights, (D) the approval of any stockholders of the Company shall be required in connection with any reclassification of the Ordinary Shares, any consolidation or merger to which the Company (or any of its Subsidiaries) is a party, any sale or transfer of all or substantially all of its assets,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 of record shall be entitled to exchange their shares of the Ordinary Share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6-K.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216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160" w:right="0" w:hanging="0"/>
        <w:jc w:val="both"/>
        <w:rPr/>
      </w:pPr>
      <w:r>
        <w:rPr/>
        <w:t> </w:t>
      </w:r>
    </w:p>
    <w:p>
      <w:pPr>
        <w:pStyle w:val="TextBody"/>
        <w:bidi w:val="0"/>
        <w:spacing w:before="0" w:after="0"/>
        <w:ind w:left="0" w:right="0" w:firstLine="720"/>
        <w:jc w:val="both"/>
        <w:rPr>
          <w:sz w:val="20"/>
        </w:rPr>
      </w:pPr>
      <w:r>
        <w:rPr>
          <w:sz w:val="20"/>
          <w:u w:val="single"/>
        </w:rPr>
        <w:t>Section 4</w:t>
      </w:r>
      <w:r>
        <w:rPr>
          <w:sz w:val="20"/>
        </w:rPr>
        <w:t xml:space="preserve">. </w:t>
      </w:r>
      <w:r>
        <w:rPr>
          <w:sz w:val="20"/>
          <w:u w:val="single"/>
        </w:rPr>
        <w:t>Transfer of Warrant</w:t>
      </w:r>
      <w:r>
        <w:rPr>
          <w:sz w:val="20"/>
        </w:rPr>
        <w:t>.</w:t>
      </w:r>
    </w:p>
    <w:p>
      <w:pPr>
        <w:pStyle w:val="TextBody"/>
        <w:bidi w:val="0"/>
        <w:spacing w:before="0" w:after="0"/>
        <w:ind w:left="0" w:right="0" w:firstLine="720"/>
        <w:jc w:val="both"/>
        <w:rPr/>
      </w:pPr>
      <w:r>
        <w:rPr/>
        <w:t> </w:t>
      </w:r>
    </w:p>
    <w:p>
      <w:pPr>
        <w:pStyle w:val="TextBody"/>
        <w:bidi w:val="0"/>
        <w:spacing w:before="0" w:after="0"/>
        <w:ind w:left="720" w:right="0" w:firstLine="720"/>
        <w:jc w:val="both"/>
        <w:rPr>
          <w:sz w:val="20"/>
        </w:rPr>
      </w:pPr>
      <w:r>
        <w:rPr>
          <w:sz w:val="20"/>
        </w:rPr>
        <w:t xml:space="preserve">a)                  </w:t>
      </w:r>
      <w:r>
        <w:rPr>
          <w:sz w:val="20"/>
          <w:u w:val="single"/>
        </w:rPr>
        <w:t>Transferability</w:t>
      </w:r>
      <w:r>
        <w:rPr>
          <w:sz w:val="20"/>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b)                  </w:t>
      </w:r>
      <w:r>
        <w:rPr>
          <w:sz w:val="20"/>
          <w:u w:val="single"/>
        </w:rPr>
        <w:t>New Warrants</w:t>
      </w:r>
      <w:r>
        <w:rPr>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c)                  </w:t>
      </w:r>
      <w:r>
        <w:rPr>
          <w:sz w:val="20"/>
          <w:u w:val="single"/>
        </w:rPr>
        <w:t>Warrant Register</w:t>
      </w:r>
      <w:r>
        <w:rPr>
          <w:sz w:val="20"/>
        </w:rPr>
        <w:t>. The Company shall register this Warrant, upon records to be maintained by the Company for that purpose (the “</w:t>
      </w:r>
      <w:r>
        <w:rPr>
          <w:sz w:val="20"/>
          <w:u w:val="single"/>
        </w:rPr>
        <w:t>Warrant Register</w:t>
      </w:r>
      <w:r>
        <w:rPr>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720" w:right="0" w:firstLine="720"/>
        <w:jc w:val="both"/>
        <w:rPr/>
      </w:pPr>
      <w:r>
        <w:rPr/>
        <w:t> </w:t>
      </w:r>
    </w:p>
    <w:p>
      <w:pPr>
        <w:pStyle w:val="TextBody"/>
        <w:bidi w:val="0"/>
        <w:spacing w:before="0" w:after="0"/>
        <w:ind w:left="0" w:right="0" w:firstLine="720"/>
        <w:jc w:val="both"/>
        <w:rPr>
          <w:sz w:val="20"/>
        </w:rPr>
      </w:pPr>
      <w:r>
        <w:rPr>
          <w:sz w:val="20"/>
          <w:u w:val="single"/>
        </w:rPr>
        <w:t>Section 5</w:t>
      </w:r>
      <w:r>
        <w:rPr>
          <w:sz w:val="20"/>
        </w:rPr>
        <w:t xml:space="preserve">. </w:t>
      </w:r>
      <w:r>
        <w:rPr>
          <w:sz w:val="20"/>
          <w:u w:val="single"/>
        </w:rPr>
        <w:t>Miscellaneous</w:t>
      </w:r>
      <w:r>
        <w:rPr>
          <w:sz w:val="20"/>
        </w:rPr>
        <w:t>.</w:t>
      </w:r>
    </w:p>
    <w:p>
      <w:pPr>
        <w:pStyle w:val="TextBody"/>
        <w:bidi w:val="0"/>
        <w:spacing w:before="0" w:after="0"/>
        <w:ind w:left="0" w:right="0" w:firstLine="720"/>
        <w:jc w:val="both"/>
        <w:rPr/>
      </w:pPr>
      <w:r>
        <w:rPr/>
        <w:t> </w:t>
      </w:r>
    </w:p>
    <w:p>
      <w:pPr>
        <w:pStyle w:val="TextBody"/>
        <w:bidi w:val="0"/>
        <w:spacing w:before="0" w:after="0"/>
        <w:ind w:left="720" w:right="0" w:firstLine="720"/>
        <w:jc w:val="both"/>
        <w:rPr>
          <w:sz w:val="20"/>
        </w:rPr>
      </w:pPr>
      <w:r>
        <w:rPr>
          <w:sz w:val="20"/>
        </w:rPr>
        <w:t xml:space="preserve">a)                  </w:t>
      </w:r>
      <w:r>
        <w:rPr>
          <w:sz w:val="20"/>
          <w:u w:val="single"/>
        </w:rPr>
        <w:t>No Rights as Stockholder Until Exercise; No Settlement in Cash</w:t>
      </w:r>
      <w:r>
        <w:rPr>
          <w:sz w:val="20"/>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pPr>
      <w:r>
        <w:rPr/>
        <w:t> </w:t>
      </w:r>
    </w:p>
    <w:p>
      <w:pPr>
        <w:pStyle w:val="TextBody"/>
        <w:bidi w:val="0"/>
        <w:spacing w:before="0" w:after="0"/>
        <w:ind w:left="720" w:right="0" w:firstLine="720"/>
        <w:jc w:val="both"/>
        <w:rPr>
          <w:sz w:val="20"/>
        </w:rPr>
      </w:pPr>
      <w:r>
        <w:rPr>
          <w:sz w:val="20"/>
        </w:rPr>
        <w:t xml:space="preserve">b)                  </w:t>
      </w:r>
      <w:r>
        <w:rPr>
          <w:sz w:val="20"/>
          <w:u w:val="single"/>
        </w:rPr>
        <w:t>Loss, Theft, Destruction or Mutilation of Warrant</w:t>
      </w:r>
      <w:r>
        <w:rPr>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c)                  </w:t>
      </w:r>
      <w:r>
        <w:rPr>
          <w:sz w:val="20"/>
          <w:u w:val="single"/>
        </w:rPr>
        <w:t>Saturdays, Sundays, Holidays, etc</w:t>
      </w:r>
      <w:r>
        <w:rPr>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d)                  </w:t>
      </w:r>
      <w:r>
        <w:rPr>
          <w:sz w:val="20"/>
          <w:u w:val="single"/>
        </w:rPr>
        <w:t>Authorized Shares</w:t>
      </w:r>
      <w:r>
        <w:rPr>
          <w:sz w:val="20"/>
        </w:rPr>
        <w:t>.</w:t>
      </w:r>
    </w:p>
    <w:p>
      <w:pPr>
        <w:pStyle w:val="TextBody"/>
        <w:bidi w:val="0"/>
        <w:spacing w:before="0" w:after="0"/>
        <w:ind w:left="720" w:right="0" w:firstLine="720"/>
        <w:jc w:val="both"/>
        <w:rPr/>
      </w:pPr>
      <w:r>
        <w:rPr/>
        <w:t> </w:t>
      </w:r>
    </w:p>
    <w:p>
      <w:pPr>
        <w:pStyle w:val="TextBody"/>
        <w:bidi w:val="0"/>
        <w:spacing w:before="0" w:after="0"/>
        <w:ind w:left="1440" w:right="0" w:firstLine="1440"/>
        <w:jc w:val="both"/>
        <w:rPr>
          <w:sz w:val="20"/>
        </w:rPr>
      </w:pPr>
      <w:r>
        <w:rPr>
          <w:sz w:val="20"/>
        </w:rPr>
        <w:t>The Company covenants that, during the period the Warrant is outstanding, it will reserve from its authorized and unissued Ordinary Shares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Ordinary Shares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1440" w:right="0" w:firstLine="1440"/>
        <w:jc w:val="both"/>
        <w:rPr/>
      </w:pPr>
      <w:r>
        <w:rPr/>
        <w:t> </w:t>
      </w:r>
    </w:p>
    <w:p>
      <w:pPr>
        <w:pStyle w:val="TextBody"/>
        <w:bidi w:val="0"/>
        <w:spacing w:before="0" w:after="0"/>
        <w:ind w:left="1440" w:right="0" w:firstLine="720"/>
        <w:jc w:val="both"/>
        <w:rPr>
          <w:sz w:val="20"/>
        </w:rPr>
      </w:pPr>
      <w:r>
        <w:rPr>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144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hanging="0"/>
        <w:jc w:val="both"/>
        <w:rPr/>
      </w:pPr>
      <w:r>
        <w:rPr/>
        <w:t> </w:t>
      </w:r>
    </w:p>
    <w:p>
      <w:pPr>
        <w:pStyle w:val="TextBody"/>
        <w:bidi w:val="0"/>
        <w:spacing w:before="0" w:after="0"/>
        <w:ind w:left="1440" w:right="0" w:firstLine="720"/>
        <w:jc w:val="both"/>
        <w:rPr>
          <w:sz w:val="20"/>
        </w:rPr>
      </w:pPr>
      <w:r>
        <w:rPr>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1440" w:right="0" w:firstLine="720"/>
        <w:jc w:val="both"/>
        <w:rPr/>
      </w:pPr>
      <w:r>
        <w:rPr/>
        <w:t> </w:t>
      </w:r>
    </w:p>
    <w:p>
      <w:pPr>
        <w:pStyle w:val="TextBody"/>
        <w:bidi w:val="0"/>
        <w:spacing w:before="0" w:after="0"/>
        <w:ind w:left="720" w:right="0" w:firstLine="720"/>
        <w:jc w:val="both"/>
        <w:rPr>
          <w:sz w:val="20"/>
        </w:rPr>
      </w:pPr>
      <w:r>
        <w:rPr>
          <w:sz w:val="20"/>
        </w:rPr>
        <w:t xml:space="preserve">e)                  </w:t>
      </w:r>
      <w:r>
        <w:rPr>
          <w:sz w:val="20"/>
          <w:u w:val="single"/>
        </w:rPr>
        <w:t>Jurisdiction</w:t>
      </w:r>
      <w:r>
        <w:rPr>
          <w:sz w:val="20"/>
        </w:rPr>
        <w:t>. All questions concerning the construction, validity, enforcement and interpretation of this Warrant shall be determined in accordance with the provisions of the Purchase Agreement.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f)                   </w:t>
      </w:r>
      <w:r>
        <w:rPr>
          <w:sz w:val="20"/>
          <w:u w:val="single"/>
        </w:rPr>
        <w:t>Restrictions</w:t>
      </w:r>
      <w:r>
        <w:rPr>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g)                  </w:t>
      </w:r>
      <w:r>
        <w:rPr>
          <w:sz w:val="20"/>
          <w:u w:val="single"/>
        </w:rPr>
        <w:t>Nonwaiver and Expenses</w:t>
      </w:r>
      <w:r>
        <w:rPr>
          <w:sz w:val="20"/>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h)                  </w:t>
      </w:r>
      <w:r>
        <w:rPr>
          <w:sz w:val="20"/>
          <w:u w:val="single"/>
        </w:rPr>
        <w:t>Notices</w:t>
      </w:r>
      <w:r>
        <w:rPr>
          <w:sz w:val="20"/>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i)                   </w:t>
      </w:r>
      <w:r>
        <w:rPr>
          <w:sz w:val="20"/>
          <w:u w:val="single"/>
        </w:rPr>
        <w:t>Limitation of Liability</w:t>
      </w:r>
      <w:r>
        <w:rPr>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Ordinary Shares or as a stockholder of the Company, whether such liability is asserted by the Company or by creditors of the Company.</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pPr>
      <w:r>
        <w:rPr/>
        <w:t> </w:t>
      </w:r>
    </w:p>
    <w:p>
      <w:pPr>
        <w:pStyle w:val="TextBody"/>
        <w:bidi w:val="0"/>
        <w:spacing w:before="0" w:after="0"/>
        <w:ind w:left="720" w:right="0" w:firstLine="720"/>
        <w:jc w:val="both"/>
        <w:rPr>
          <w:sz w:val="20"/>
        </w:rPr>
      </w:pPr>
      <w:r>
        <w:rPr>
          <w:sz w:val="20"/>
        </w:rPr>
        <w:t xml:space="preserve">j)                   </w:t>
      </w:r>
      <w:r>
        <w:rPr>
          <w:sz w:val="20"/>
          <w:u w:val="single"/>
        </w:rPr>
        <w:t>Remedies</w:t>
      </w:r>
      <w:r>
        <w:rPr>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k)                  </w:t>
      </w:r>
      <w:r>
        <w:rPr>
          <w:sz w:val="20"/>
          <w:u w:val="single"/>
        </w:rPr>
        <w:t>Successors and Assigns</w:t>
      </w:r>
      <w:r>
        <w:rPr>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l)                   </w:t>
      </w:r>
      <w:r>
        <w:rPr>
          <w:sz w:val="20"/>
          <w:u w:val="single"/>
        </w:rPr>
        <w:t>Amendment</w:t>
      </w:r>
      <w:r>
        <w:rPr>
          <w:sz w:val="20"/>
        </w:rPr>
        <w:t>. Other than Section 2(e) above and this Section 5(l), which may not be amended, modified or waived, this Warrant may be modified or amended or the provisions hereof waived with the written consent of the Company and the Holder.</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m)               </w:t>
      </w:r>
      <w:r>
        <w:rPr>
          <w:sz w:val="20"/>
          <w:u w:val="single"/>
        </w:rPr>
        <w:t>Severability</w:t>
      </w:r>
      <w:r>
        <w:rPr>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n)                  </w:t>
      </w:r>
      <w:r>
        <w:rPr>
          <w:sz w:val="20"/>
          <w:u w:val="single"/>
        </w:rPr>
        <w:t>Headings</w:t>
      </w:r>
      <w:r>
        <w:rPr>
          <w:sz w:val="20"/>
        </w:rPr>
        <w:t>. The headings used in this Warrant are for the convenience of reference only and shall not, for any purpose, be deemed a part of this Warrant.</w:t>
      </w:r>
    </w:p>
    <w:p>
      <w:pPr>
        <w:pStyle w:val="TextBody"/>
        <w:bidi w:val="0"/>
        <w:spacing w:before="0" w:after="0"/>
        <w:ind w:left="720" w:right="0" w:firstLine="72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sz w:val="20"/>
        </w:rPr>
      </w:pPr>
      <w:r>
        <w:rPr>
          <w:sz w:val="20"/>
        </w:rPr>
        <w:t>********************</w:t>
      </w:r>
    </w:p>
    <w:p>
      <w:pPr>
        <w:pStyle w:val="TextBody"/>
        <w:bidi w:val="0"/>
        <w:spacing w:before="0" w:after="0"/>
        <w:ind w:left="0" w:right="0" w:hanging="0"/>
        <w:jc w:val="center"/>
        <w:rPr/>
      </w:pPr>
      <w:r>
        <w:rPr/>
        <w:t> </w:t>
      </w:r>
    </w:p>
    <w:p>
      <w:pPr>
        <w:pStyle w:val="TextBody"/>
        <w:bidi w:val="0"/>
        <w:spacing w:before="0" w:after="0"/>
        <w:ind w:left="0" w:right="0" w:hanging="0"/>
        <w:jc w:val="center"/>
        <w:rPr>
          <w:i/>
          <w:sz w:val="20"/>
        </w:rPr>
      </w:pPr>
      <w:r>
        <w:rPr>
          <w:i/>
          <w:sz w:val="20"/>
        </w:rPr>
        <w:t>(Signature Page Follows)</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firstLine="1440"/>
        <w:jc w:val="both"/>
        <w:rPr>
          <w:sz w:val="20"/>
        </w:rPr>
      </w:pPr>
      <w:r>
        <w:rPr>
          <w:sz w:val="20"/>
        </w:rPr>
        <w:t>IN WITNESS WHEREOF, the Company has caused this Warrant to be executed by its officer thereunto duly authorized as of the date first above indicated.</w:t>
      </w:r>
    </w:p>
    <w:p>
      <w:pPr>
        <w:pStyle w:val="TextBody"/>
        <w:bidi w:val="0"/>
        <w:spacing w:before="0" w:after="0"/>
        <w:ind w:left="0" w:right="0" w:firstLine="144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3600"/>
        <w:jc w:val="both"/>
        <w:rPr/>
      </w:pPr>
      <w:r>
        <w:rPr/>
        <w:t> </w:t>
      </w:r>
    </w:p>
    <w:tbl>
      <w:tblPr>
        <w:tblW w:w="2704" w:type="dxa"/>
        <w:jc w:val="left"/>
        <w:tblInd w:w="0" w:type="dxa"/>
        <w:tblLayout w:type="fixed"/>
        <w:tblCellMar>
          <w:top w:w="0" w:type="dxa"/>
          <w:left w:w="0" w:type="dxa"/>
          <w:bottom w:w="0" w:type="dxa"/>
          <w:right w:w="0" w:type="dxa"/>
        </w:tblCellMar>
      </w:tblPr>
      <w:tblGrid>
        <w:gridCol w:w="75"/>
        <w:gridCol w:w="1822"/>
        <w:gridCol w:w="358"/>
        <w:gridCol w:w="449"/>
      </w:tblGrid>
      <w:tr>
        <w:trPr/>
        <w:tc>
          <w:tcPr>
            <w:tcW w:w="75" w:type="dxa"/>
            <w:tcBorders/>
            <w:vAlign w:val="center"/>
          </w:tcPr>
          <w:p>
            <w:pPr>
              <w:pStyle w:val="TableContents"/>
              <w:bidi w:val="0"/>
              <w:spacing w:before="0" w:after="283"/>
              <w:jc w:val="left"/>
              <w:rPr/>
            </w:pPr>
            <w:r>
              <w:rPr/>
              <w:t> </w:t>
            </w:r>
          </w:p>
        </w:tc>
        <w:tc>
          <w:tcPr>
            <w:tcW w:w="2629" w:type="dxa"/>
            <w:gridSpan w:val="3"/>
            <w:tcBorders/>
            <w:vAlign w:val="center"/>
          </w:tcPr>
          <w:p>
            <w:pPr>
              <w:pStyle w:val="TableContents"/>
              <w:bidi w:val="0"/>
              <w:spacing w:before="0" w:after="0"/>
              <w:ind w:left="0" w:right="0" w:hanging="0"/>
              <w:jc w:val="left"/>
              <w:rPr>
                <w:b/>
                <w:caps/>
                <w:sz w:val="20"/>
              </w:rPr>
            </w:pPr>
            <w:r>
              <w:rPr>
                <w:b/>
                <w:caps/>
                <w:sz w:val="20"/>
              </w:rPr>
              <w:t>alphaton capital corp</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283"/>
              <w:jc w:val="left"/>
              <w:rPr/>
            </w:pPr>
            <w:r>
              <w:rPr/>
              <w:t> </w:t>
            </w:r>
          </w:p>
        </w:tc>
        <w:tc>
          <w:tcPr>
            <w:tcW w:w="1822" w:type="dxa"/>
            <w:tcBorders/>
            <w:vAlign w:val="center"/>
          </w:tcPr>
          <w:p>
            <w:pPr>
              <w:pStyle w:val="TableContents"/>
              <w:bidi w:val="0"/>
              <w:spacing w:before="0" w:after="283"/>
              <w:jc w:val="left"/>
              <w:rPr/>
            </w:pPr>
            <w:r>
              <w:rPr/>
              <w:t>By:</w:t>
            </w:r>
          </w:p>
        </w:tc>
        <w:tc>
          <w:tcPr>
            <w:tcW w:w="358" w:type="dxa"/>
            <w:tcBorders>
              <w:bottom w:val="single" w:sz="8" w:space="0" w:color="000000"/>
            </w:tcBorders>
            <w:tcMar>
              <w:bottom w:w="28" w:type="dxa"/>
            </w:tcMar>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29" w:type="dxa"/>
            <w:gridSpan w:val="3"/>
            <w:tcBorders/>
            <w:vAlign w:val="center"/>
          </w:tcPr>
          <w:p>
            <w:pPr>
              <w:pStyle w:val="TableContents"/>
              <w:bidi w:val="0"/>
              <w:spacing w:before="0" w:after="0"/>
              <w:ind w:left="400" w:right="0" w:firstLine="360"/>
              <w:jc w:val="left"/>
              <w:rPr>
                <w:sz w:val="20"/>
              </w:rPr>
            </w:pPr>
            <w:r>
              <w:rPr>
                <w:sz w:val="20"/>
              </w:rPr>
              <w:t>Name:</w:t>
            </w:r>
          </w:p>
          <w:p>
            <w:pPr>
              <w:pStyle w:val="TableContents"/>
              <w:bidi w:val="0"/>
              <w:spacing w:before="0" w:after="0"/>
              <w:ind w:left="400" w:right="0" w:firstLine="360"/>
              <w:jc w:val="left"/>
              <w:rPr>
                <w:sz w:val="20"/>
              </w:rPr>
            </w:pPr>
            <w:r>
              <w:rPr>
                <w:sz w:val="20"/>
              </w:rPr>
              <w:t>Title:</w:t>
            </w:r>
          </w:p>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3600"/>
        <w:jc w:val="left"/>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NOTICE OF EXERCISE</w:t>
      </w:r>
    </w:p>
    <w:p>
      <w:pPr>
        <w:pStyle w:val="TextBody"/>
        <w:bidi w:val="0"/>
        <w:spacing w:before="0" w:after="0"/>
        <w:ind w:left="0" w:right="0" w:hanging="0"/>
        <w:jc w:val="both"/>
        <w:rPr/>
      </w:pPr>
      <w:r>
        <w:rPr/>
        <w:t> </w:t>
      </w:r>
    </w:p>
    <w:p>
      <w:pPr>
        <w:pStyle w:val="TextBody"/>
        <w:bidi w:val="0"/>
        <w:spacing w:before="0" w:after="0"/>
        <w:ind w:left="0" w:right="0" w:hanging="0"/>
        <w:jc w:val="both"/>
        <w:rPr>
          <w:caps/>
          <w:sz w:val="20"/>
        </w:rPr>
      </w:pPr>
      <w:r>
        <w:rPr>
          <w:caps/>
          <w:sz w:val="20"/>
        </w:rPr>
        <w:t>To:          </w:t>
      </w:r>
      <w:r>
        <w:rPr>
          <w:b/>
          <w:caps/>
          <w:sz w:val="20"/>
        </w:rPr>
        <w:t>alphaton capital corp</w:t>
      </w:r>
    </w:p>
    <w:p>
      <w:pPr>
        <w:pStyle w:val="TextBody"/>
        <w:bidi w:val="0"/>
        <w:spacing w:before="0" w:after="0"/>
        <w:ind w:left="0" w:right="0" w:hanging="0"/>
        <w:jc w:val="both"/>
        <w:rPr/>
      </w:pPr>
      <w:r>
        <w:rPr/>
        <w:t> </w:t>
      </w:r>
    </w:p>
    <w:p>
      <w:pPr>
        <w:pStyle w:val="TextBody"/>
        <w:bidi w:val="0"/>
        <w:spacing w:before="0" w:after="0"/>
        <w:ind w:left="0" w:right="0" w:firstLine="1440"/>
        <w:jc w:val="both"/>
        <w:rPr>
          <w:sz w:val="20"/>
        </w:rPr>
      </w:pPr>
      <w:r>
        <w:rPr>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(2)   Payment shall take the form of (check applicable box):</w:t>
      </w:r>
    </w:p>
    <w:p>
      <w:pPr>
        <w:pStyle w:val="TextBody"/>
        <w:bidi w:val="0"/>
        <w:spacing w:before="0" w:after="0"/>
        <w:ind w:left="0" w:right="0" w:firstLine="1440"/>
        <w:jc w:val="both"/>
        <w:rPr/>
      </w:pPr>
      <w:r>
        <w:rPr/>
        <w:t> </w:t>
      </w:r>
    </w:p>
    <w:p>
      <w:pPr>
        <w:pStyle w:val="TextBody"/>
        <w:bidi w:val="0"/>
        <w:spacing w:before="0" w:after="0"/>
        <w:ind w:left="2160" w:right="0" w:hanging="0"/>
        <w:jc w:val="both"/>
        <w:rPr>
          <w:sz w:val="20"/>
        </w:rPr>
      </w:pPr>
      <w:r>
        <w:rPr>
          <w:sz w:val="20"/>
        </w:rPr>
        <w:t>[ ] in lawful money of the United States; or</w:t>
      </w:r>
    </w:p>
    <w:p>
      <w:pPr>
        <w:pStyle w:val="TextBody"/>
        <w:bidi w:val="0"/>
        <w:spacing w:before="0" w:after="0"/>
        <w:ind w:left="2160" w:right="0" w:hanging="0"/>
        <w:jc w:val="both"/>
        <w:rPr/>
      </w:pPr>
      <w:r>
        <w:rPr/>
        <w:t> </w:t>
      </w:r>
    </w:p>
    <w:p>
      <w:pPr>
        <w:pStyle w:val="TextBody"/>
        <w:bidi w:val="0"/>
        <w:spacing w:before="0" w:after="0"/>
        <w:ind w:left="2160" w:right="0" w:hanging="0"/>
        <w:jc w:val="both"/>
        <w:rPr>
          <w:sz w:val="20"/>
        </w:rPr>
      </w:pPr>
      <w:r>
        <w:rPr>
          <w:sz w:val="20"/>
        </w:rPr>
        <w:t>[ ]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2160" w:right="0" w:hanging="0"/>
        <w:jc w:val="both"/>
        <w:rPr/>
      </w:pPr>
      <w:r>
        <w:rPr/>
        <w:t> </w:t>
      </w:r>
    </w:p>
    <w:p>
      <w:pPr>
        <w:pStyle w:val="TextBody"/>
        <w:bidi w:val="0"/>
        <w:spacing w:before="0" w:after="0"/>
        <w:ind w:left="0" w:right="0" w:firstLine="1440"/>
        <w:jc w:val="both"/>
        <w:rPr>
          <w:sz w:val="20"/>
        </w:rPr>
      </w:pPr>
      <w:r>
        <w:rPr>
          <w:sz w:val="20"/>
        </w:rPr>
        <w:t>(3)   Please issue said Warrant Shares in the name of the undersigned or in such other name as is specified below:</w:t>
      </w:r>
    </w:p>
    <w:p>
      <w:pPr>
        <w:pStyle w:val="TextBody"/>
        <w:bidi w:val="0"/>
        <w:spacing w:before="0" w:after="0"/>
        <w:ind w:left="0" w:right="0" w:firstLine="1440"/>
        <w:jc w:val="both"/>
        <w:rPr/>
      </w:pPr>
      <w:r>
        <w:rPr/>
        <w:t> </w:t>
      </w:r>
    </w:p>
    <w:p>
      <w:pPr>
        <w:pStyle w:val="TextBody"/>
        <w:bidi w:val="0"/>
        <w:spacing w:before="0" w:after="0"/>
        <w:ind w:left="0" w:right="0" w:firstLine="2160"/>
        <w:jc w:val="both"/>
        <w:rPr>
          <w:sz w:val="20"/>
        </w:rPr>
      </w:pPr>
      <w:r>
        <w:rPr>
          <w:sz w:val="20"/>
        </w:rPr>
        <w:t>_______________________________</w:t>
      </w:r>
    </w:p>
    <w:p>
      <w:pPr>
        <w:pStyle w:val="TextBody"/>
        <w:bidi w:val="0"/>
        <w:spacing w:before="0" w:after="0"/>
        <w:ind w:left="0" w:right="0" w:firstLine="216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Warrant Shares shall be delivered to the following DWAC Account Number:</w:t>
      </w:r>
    </w:p>
    <w:p>
      <w:pPr>
        <w:pStyle w:val="TextBody"/>
        <w:bidi w:val="0"/>
        <w:spacing w:before="0" w:after="0"/>
        <w:ind w:left="0" w:right="0" w:hanging="0"/>
        <w:jc w:val="both"/>
        <w:rPr/>
      </w:pPr>
      <w:r>
        <w:rPr/>
        <w:t> </w:t>
      </w:r>
    </w:p>
    <w:p>
      <w:pPr>
        <w:pStyle w:val="TextBody"/>
        <w:bidi w:val="0"/>
        <w:spacing w:before="0" w:after="0"/>
        <w:ind w:left="0" w:right="0" w:firstLine="2160"/>
        <w:jc w:val="both"/>
        <w:rPr>
          <w:sz w:val="20"/>
        </w:rPr>
      </w:pPr>
      <w:r>
        <w:rPr>
          <w:sz w:val="20"/>
        </w:rPr>
        <w:t>_______________________________</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_______________________________</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_______________________________</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caps/>
          <w:sz w:val="20"/>
        </w:rPr>
      </w:pPr>
      <w:r>
        <w:rPr>
          <w:caps/>
          <w:sz w:val="20"/>
        </w:rPr>
        <w:t>[SIGNATURE OF HOLDER]</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hanging="0"/>
        <w:jc w:val="both"/>
        <w:rPr>
          <w:sz w:val="20"/>
        </w:rPr>
      </w:pPr>
      <w:r>
        <w:rPr>
          <w:sz w:val="20"/>
        </w:rPr>
        <w:t>Name of Investing Entity: ________________________________________________________________________</w:t>
      </w:r>
    </w:p>
    <w:p>
      <w:pPr>
        <w:pStyle w:val="TextBody"/>
        <w:bidi w:val="0"/>
        <w:spacing w:before="0" w:after="0"/>
        <w:ind w:left="0" w:right="0" w:hanging="0"/>
        <w:jc w:val="both"/>
        <w:rPr>
          <w:sz w:val="20"/>
        </w:rPr>
      </w:pPr>
      <w:r>
        <w:rPr>
          <w:i/>
          <w:sz w:val="20"/>
        </w:rPr>
        <w:t>Signature of Authorized Signatory of Investing Entity</w:t>
      </w:r>
      <w:r>
        <w:rPr>
          <w:sz w:val="20"/>
        </w:rPr>
        <w:t>: _________________________________________________</w:t>
      </w:r>
    </w:p>
    <w:p>
      <w:pPr>
        <w:pStyle w:val="TextBody"/>
        <w:bidi w:val="0"/>
        <w:spacing w:before="0" w:after="0"/>
        <w:ind w:left="0" w:right="0" w:hanging="0"/>
        <w:jc w:val="both"/>
        <w:rPr>
          <w:sz w:val="20"/>
        </w:rPr>
      </w:pPr>
      <w:r>
        <w:rPr>
          <w:sz w:val="20"/>
        </w:rPr>
        <w:t>Name of Authorized Signatory: ___________________________________________________________________</w:t>
      </w:r>
    </w:p>
    <w:p>
      <w:pPr>
        <w:pStyle w:val="TextBody"/>
        <w:bidi w:val="0"/>
        <w:spacing w:before="0" w:after="0"/>
        <w:ind w:left="0" w:right="0" w:hanging="0"/>
        <w:jc w:val="both"/>
        <w:rPr>
          <w:sz w:val="20"/>
        </w:rPr>
      </w:pPr>
      <w:r>
        <w:rPr>
          <w:sz w:val="20"/>
        </w:rPr>
        <w:t>Title of Authorized Signatory: ____________________________________________________________________</w:t>
      </w:r>
    </w:p>
    <w:p>
      <w:pPr>
        <w:pStyle w:val="TextBody"/>
        <w:bidi w:val="0"/>
        <w:spacing w:before="0" w:after="0"/>
        <w:ind w:left="0" w:right="0" w:hanging="0"/>
        <w:jc w:val="both"/>
        <w:rPr>
          <w:sz w:val="20"/>
        </w:rPr>
      </w:pPr>
      <w:r>
        <w:rPr>
          <w:sz w:val="20"/>
        </w:rPr>
        <w:t>Date: _______________________________________________________________________________________</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1440"/>
        <w:jc w:val="both"/>
        <w:rPr/>
      </w:pPr>
      <w:r>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 </w:t>
      </w:r>
    </w:p>
    <w:p>
      <w:pPr>
        <w:pStyle w:val="TextBody"/>
        <w:bidi w:val="0"/>
        <w:spacing w:before="0" w:after="0"/>
        <w:ind w:left="0" w:right="0" w:hanging="0"/>
        <w:jc w:val="right"/>
        <w:rPr>
          <w:sz w:val="20"/>
        </w:rPr>
      </w:pPr>
      <w:r>
        <w:rPr>
          <w:sz w:val="20"/>
        </w:rPr>
        <w:tab/>
      </w:r>
      <w:r>
        <w:rPr>
          <w:b/>
          <w:sz w:val="20"/>
        </w:rPr>
        <w:t>EXHIBIT B</w:t>
      </w:r>
    </w:p>
    <w:p>
      <w:pPr>
        <w:pStyle w:val="TextBody"/>
        <w:bidi w:val="0"/>
        <w:spacing w:before="0" w:after="0"/>
        <w:ind w:left="0" w:right="0" w:hanging="0"/>
        <w:jc w:val="both"/>
        <w:rPr/>
      </w:pPr>
      <w:r>
        <w:rPr/>
        <w:t> </w:t>
      </w:r>
    </w:p>
    <w:p>
      <w:pPr>
        <w:pStyle w:val="TextBody"/>
        <w:bidi w:val="0"/>
        <w:spacing w:before="0" w:after="0"/>
        <w:ind w:left="0" w:right="0" w:hanging="0"/>
        <w:jc w:val="center"/>
        <w:rPr>
          <w:b w:val="false"/>
          <w:sz w:val="20"/>
        </w:rPr>
      </w:pPr>
      <w:r>
        <w:rPr>
          <w:b w:val="false"/>
          <w:sz w:val="20"/>
        </w:rPr>
        <w:t>ASSIGNMENT FORM</w:t>
      </w:r>
    </w:p>
    <w:p>
      <w:pPr>
        <w:pStyle w:val="TextBody"/>
        <w:bidi w:val="0"/>
        <w:spacing w:before="0" w:after="0"/>
        <w:ind w:left="0" w:right="0" w:firstLine="210"/>
        <w:jc w:val="both"/>
        <w:rPr>
          <w:i/>
          <w:sz w:val="20"/>
        </w:rPr>
      </w:pPr>
      <w:r>
        <w:rPr>
          <w:i/>
          <w:sz w:val="20"/>
        </w:rPr>
        <w:t>(To assign the foregoing Warrant, execute this form and supply required information. Do not use this form to purchase shares.)</w:t>
      </w:r>
    </w:p>
    <w:p>
      <w:pPr>
        <w:pStyle w:val="TextBody"/>
        <w:bidi w:val="0"/>
        <w:spacing w:before="0" w:after="0"/>
        <w:ind w:left="0" w:right="0" w:firstLine="210"/>
        <w:jc w:val="both"/>
        <w:rPr/>
      </w:pPr>
      <w:r>
        <w:rPr/>
        <w:t> </w:t>
      </w:r>
    </w:p>
    <w:p>
      <w:pPr>
        <w:pStyle w:val="TextBody"/>
        <w:bidi w:val="0"/>
        <w:spacing w:before="0" w:after="0"/>
        <w:ind w:left="0" w:right="0" w:firstLine="210"/>
        <w:jc w:val="both"/>
        <w:rPr>
          <w:sz w:val="20"/>
        </w:rPr>
      </w:pPr>
      <w:r>
        <w:rPr>
          <w:sz w:val="20"/>
        </w:rPr>
        <w:t>FOR VALUE RECEIVED, the foregoing Warrant and all rights evidenced thereby are hereby assigned to</w:t>
      </w:r>
    </w:p>
    <w:p>
      <w:pPr>
        <w:pStyle w:val="TextBody"/>
        <w:bidi w:val="0"/>
        <w:spacing w:before="0" w:after="0"/>
        <w:ind w:left="0" w:right="0" w:firstLine="210"/>
        <w:jc w:val="both"/>
        <w:rPr/>
      </w:pPr>
      <w:r>
        <w:rPr/>
        <w:t> </w:t>
      </w:r>
    </w:p>
    <w:tbl>
      <w:tblPr>
        <w:tblW w:w="10205" w:type="dxa"/>
        <w:jc w:val="left"/>
        <w:tblInd w:w="0" w:type="dxa"/>
        <w:tblLayout w:type="fixed"/>
        <w:tblCellMar>
          <w:top w:w="0" w:type="dxa"/>
          <w:left w:w="0" w:type="dxa"/>
          <w:bottom w:w="0" w:type="dxa"/>
          <w:right w:w="0" w:type="dxa"/>
        </w:tblCellMar>
      </w:tblPr>
      <w:tblGrid>
        <w:gridCol w:w="6603"/>
        <w:gridCol w:w="3526"/>
        <w:gridCol w:w="76"/>
      </w:tblGrid>
      <w:tr>
        <w:trPr/>
        <w:tc>
          <w:tcPr>
            <w:tcW w:w="6603" w:type="dxa"/>
            <w:tcBorders/>
            <w:vAlign w:val="center"/>
          </w:tcPr>
          <w:p>
            <w:pPr>
              <w:pStyle w:val="TableContents"/>
              <w:bidi w:val="0"/>
              <w:spacing w:before="0" w:after="283"/>
              <w:jc w:val="both"/>
              <w:rPr>
                <w:sz w:val="20"/>
              </w:rPr>
            </w:pPr>
            <w:r>
              <w:rPr>
                <w:sz w:val="20"/>
              </w:rPr>
              <w:t>Name:</w:t>
            </w:r>
          </w:p>
        </w:tc>
        <w:tc>
          <w:tcPr>
            <w:tcW w:w="3526" w:type="dxa"/>
            <w:tcBorders/>
            <w:vAlign w:val="center"/>
          </w:tcPr>
          <w:p>
            <w:pPr>
              <w:pStyle w:val="TableContents"/>
              <w:bidi w:val="0"/>
              <w:spacing w:before="0" w:after="283"/>
              <w:jc w:val="both"/>
              <w:rPr>
                <w:sz w:val="20"/>
              </w:rPr>
            </w:pPr>
            <w:r>
              <w:rPr>
                <w:sz w:val="20"/>
              </w:rPr>
              <w:t>______________________________________</w:t>
            </w:r>
          </w:p>
        </w:tc>
        <w:tc>
          <w:tcPr>
            <w:tcW w:w="76" w:type="dxa"/>
            <w:tcBorders/>
            <w:vAlign w:val="center"/>
          </w:tcPr>
          <w:p>
            <w:pPr>
              <w:pStyle w:val="TableContents"/>
              <w:bidi w:val="0"/>
              <w:spacing w:before="0" w:after="283"/>
              <w:jc w:val="both"/>
              <w:rPr/>
            </w:pPr>
            <w:r>
              <w:rPr/>
              <w:t> </w:t>
            </w:r>
          </w:p>
        </w:tc>
      </w:tr>
      <w:tr>
        <w:trPr/>
        <w:tc>
          <w:tcPr>
            <w:tcW w:w="6603" w:type="dxa"/>
            <w:tcBorders/>
            <w:vAlign w:val="center"/>
          </w:tcPr>
          <w:p>
            <w:pPr>
              <w:pStyle w:val="TableContents"/>
              <w:bidi w:val="0"/>
              <w:spacing w:before="0" w:after="283"/>
              <w:jc w:val="both"/>
              <w:rPr/>
            </w:pPr>
            <w:r>
              <w:rPr/>
              <w:t> </w:t>
            </w:r>
          </w:p>
        </w:tc>
        <w:tc>
          <w:tcPr>
            <w:tcW w:w="3602" w:type="dxa"/>
            <w:gridSpan w:val="2"/>
            <w:tcBorders/>
            <w:vAlign w:val="center"/>
          </w:tcPr>
          <w:p>
            <w:pPr>
              <w:pStyle w:val="TableContents"/>
              <w:bidi w:val="0"/>
              <w:spacing w:before="0" w:after="283"/>
              <w:jc w:val="both"/>
              <w:rPr>
                <w:sz w:val="20"/>
              </w:rPr>
            </w:pPr>
            <w:r>
              <w:rPr>
                <w:sz w:val="20"/>
              </w:rPr>
              <w:t>(Please Print)</w:t>
            </w:r>
          </w:p>
        </w:tc>
      </w:tr>
      <w:tr>
        <w:trPr/>
        <w:tc>
          <w:tcPr>
            <w:tcW w:w="6603" w:type="dxa"/>
            <w:tcBorders/>
            <w:vAlign w:val="center"/>
          </w:tcPr>
          <w:p>
            <w:pPr>
              <w:pStyle w:val="TableContents"/>
              <w:bidi w:val="0"/>
              <w:spacing w:before="0" w:after="283"/>
              <w:jc w:val="both"/>
              <w:rPr>
                <w:sz w:val="20"/>
              </w:rPr>
            </w:pPr>
            <w:r>
              <w:rPr>
                <w:sz w:val="20"/>
              </w:rPr>
              <w:t>Address:</w:t>
            </w:r>
          </w:p>
        </w:tc>
        <w:tc>
          <w:tcPr>
            <w:tcW w:w="3526" w:type="dxa"/>
            <w:tcBorders/>
            <w:vAlign w:val="center"/>
          </w:tcPr>
          <w:p>
            <w:pPr>
              <w:pStyle w:val="TableContents"/>
              <w:bidi w:val="0"/>
              <w:spacing w:before="0" w:after="283"/>
              <w:jc w:val="both"/>
              <w:rPr>
                <w:sz w:val="20"/>
              </w:rPr>
            </w:pPr>
            <w:r>
              <w:rPr>
                <w:sz w:val="20"/>
              </w:rPr>
              <w:t>______________________________________</w:t>
            </w:r>
          </w:p>
        </w:tc>
        <w:tc>
          <w:tcPr>
            <w:tcW w:w="76" w:type="dxa"/>
            <w:tcBorders/>
            <w:vAlign w:val="center"/>
          </w:tcPr>
          <w:p>
            <w:pPr>
              <w:pStyle w:val="TableContents"/>
              <w:bidi w:val="0"/>
              <w:spacing w:before="0" w:after="283"/>
              <w:jc w:val="both"/>
              <w:rPr/>
            </w:pPr>
            <w:r>
              <w:rPr/>
              <w:t> </w:t>
            </w:r>
          </w:p>
        </w:tc>
      </w:tr>
      <w:tr>
        <w:trPr/>
        <w:tc>
          <w:tcPr>
            <w:tcW w:w="6603" w:type="dxa"/>
            <w:tcBorders/>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p>
            <w:pPr>
              <w:pStyle w:val="TableContents"/>
              <w:bidi w:val="0"/>
              <w:spacing w:before="0" w:after="0"/>
              <w:ind w:left="0" w:right="0" w:hanging="0"/>
              <w:jc w:val="both"/>
              <w:rPr>
                <w:sz w:val="20"/>
              </w:rPr>
            </w:pPr>
            <w:r>
              <w:rPr>
                <w:sz w:val="20"/>
              </w:rPr>
              <w:t>Phone Number:</w:t>
            </w:r>
          </w:p>
          <w:p>
            <w:pPr>
              <w:pStyle w:val="TableContents"/>
              <w:bidi w:val="0"/>
              <w:spacing w:before="0" w:after="0"/>
              <w:ind w:left="0" w:right="0" w:hanging="0"/>
              <w:jc w:val="both"/>
              <w:rPr/>
            </w:pPr>
            <w:r>
              <w:rPr/>
              <w:t> </w:t>
            </w:r>
          </w:p>
          <w:p>
            <w:pPr>
              <w:pStyle w:val="TableContents"/>
              <w:bidi w:val="0"/>
              <w:spacing w:before="0" w:after="0"/>
              <w:ind w:left="0" w:right="0" w:hanging="0"/>
              <w:jc w:val="both"/>
              <w:rPr>
                <w:sz w:val="20"/>
              </w:rPr>
            </w:pPr>
            <w:r>
              <w:rPr>
                <w:sz w:val="20"/>
              </w:rPr>
              <w:t>Email Address:</w:t>
            </w:r>
          </w:p>
          <w:p>
            <w:pPr>
              <w:pStyle w:val="TableContents"/>
              <w:bidi w:val="0"/>
              <w:spacing w:before="0" w:after="0"/>
              <w:ind w:left="0" w:right="0" w:hanging="0"/>
              <w:jc w:val="both"/>
              <w:rPr/>
            </w:pPr>
            <w:r>
              <w:rPr/>
              <w:t> </w:t>
            </w:r>
          </w:p>
        </w:tc>
        <w:tc>
          <w:tcPr>
            <w:tcW w:w="3602" w:type="dxa"/>
            <w:gridSpan w:val="2"/>
            <w:tcBorders/>
            <w:vAlign w:val="center"/>
          </w:tcPr>
          <w:p>
            <w:pPr>
              <w:pStyle w:val="TableContents"/>
              <w:bidi w:val="0"/>
              <w:spacing w:before="0" w:after="0"/>
              <w:ind w:left="0" w:right="0" w:hanging="0"/>
              <w:jc w:val="both"/>
              <w:rPr>
                <w:sz w:val="20"/>
              </w:rPr>
            </w:pPr>
            <w:r>
              <w:rPr>
                <w:sz w:val="20"/>
              </w:rPr>
              <w:t>(Please Print)</w:t>
            </w:r>
          </w:p>
          <w:p>
            <w:pPr>
              <w:pStyle w:val="TableContents"/>
              <w:bidi w:val="0"/>
              <w:spacing w:before="0" w:after="0"/>
              <w:ind w:left="0" w:right="0" w:hanging="0"/>
              <w:jc w:val="both"/>
              <w:rPr/>
            </w:pPr>
            <w:r>
              <w:rPr/>
              <w:t> </w:t>
            </w:r>
          </w:p>
          <w:p>
            <w:pPr>
              <w:pStyle w:val="TableContents"/>
              <w:bidi w:val="0"/>
              <w:spacing w:before="0" w:after="0"/>
              <w:ind w:left="0" w:right="0" w:hanging="0"/>
              <w:jc w:val="both"/>
              <w:rPr>
                <w:sz w:val="20"/>
              </w:rPr>
            </w:pPr>
            <w:r>
              <w:rPr>
                <w:sz w:val="20"/>
              </w:rPr>
              <w:t>______________________________________</w:t>
            </w:r>
          </w:p>
          <w:p>
            <w:pPr>
              <w:pStyle w:val="TableContents"/>
              <w:bidi w:val="0"/>
              <w:spacing w:before="0" w:after="0"/>
              <w:ind w:left="0" w:right="0" w:hanging="0"/>
              <w:jc w:val="both"/>
              <w:rPr/>
            </w:pPr>
            <w:r>
              <w:rPr/>
              <w:t> </w:t>
            </w:r>
          </w:p>
          <w:p>
            <w:pPr>
              <w:pStyle w:val="TableContents"/>
              <w:bidi w:val="0"/>
              <w:spacing w:before="0" w:after="0"/>
              <w:ind w:left="0" w:right="0" w:hanging="0"/>
              <w:jc w:val="both"/>
              <w:rPr>
                <w:sz w:val="20"/>
              </w:rPr>
            </w:pPr>
            <w:r>
              <w:rPr>
                <w:sz w:val="20"/>
              </w:rPr>
              <w:t>______________________________________</w:t>
            </w:r>
          </w:p>
          <w:p>
            <w:pPr>
              <w:pStyle w:val="TableContents"/>
              <w:bidi w:val="0"/>
              <w:spacing w:before="0" w:after="0"/>
              <w:ind w:left="0" w:right="0" w:hanging="0"/>
              <w:jc w:val="both"/>
              <w:rPr/>
            </w:pPr>
            <w:r>
              <w:rPr/>
              <w:t> </w:t>
            </w:r>
          </w:p>
        </w:tc>
      </w:tr>
      <w:tr>
        <w:trPr/>
        <w:tc>
          <w:tcPr>
            <w:tcW w:w="6603" w:type="dxa"/>
            <w:tcBorders/>
            <w:vAlign w:val="center"/>
          </w:tcPr>
          <w:p>
            <w:pPr>
              <w:pStyle w:val="TableContents"/>
              <w:bidi w:val="0"/>
              <w:spacing w:before="0" w:after="283"/>
              <w:jc w:val="both"/>
              <w:rPr>
                <w:sz w:val="20"/>
              </w:rPr>
            </w:pPr>
            <w:r>
              <w:rPr>
                <w:sz w:val="20"/>
              </w:rPr>
              <w:t>Dated: _______________ __, ______</w:t>
            </w:r>
          </w:p>
        </w:tc>
        <w:tc>
          <w:tcPr>
            <w:tcW w:w="3602" w:type="dxa"/>
            <w:gridSpan w:val="2"/>
            <w:tcBorders/>
            <w:vAlign w:val="center"/>
          </w:tcPr>
          <w:p>
            <w:pPr>
              <w:pStyle w:val="TableContents"/>
              <w:bidi w:val="0"/>
              <w:spacing w:before="0" w:after="283"/>
              <w:jc w:val="both"/>
              <w:rPr/>
            </w:pPr>
            <w:r>
              <w:rPr/>
              <w:t> </w:t>
            </w:r>
          </w:p>
        </w:tc>
      </w:tr>
      <w:tr>
        <w:trPr/>
        <w:tc>
          <w:tcPr>
            <w:tcW w:w="6603" w:type="dxa"/>
            <w:tcBorders/>
            <w:vAlign w:val="center"/>
          </w:tcPr>
          <w:p>
            <w:pPr>
              <w:pStyle w:val="TableContents"/>
              <w:bidi w:val="0"/>
              <w:spacing w:before="0" w:after="283"/>
              <w:jc w:val="both"/>
              <w:rPr>
                <w:sz w:val="20"/>
              </w:rPr>
            </w:pPr>
            <w:r>
              <w:rPr>
                <w:sz w:val="20"/>
              </w:rPr>
              <w:t>Holder’s Signature: _________________________________________________</w:t>
            </w:r>
          </w:p>
        </w:tc>
        <w:tc>
          <w:tcPr>
            <w:tcW w:w="3602" w:type="dxa"/>
            <w:gridSpan w:val="2"/>
            <w:tcBorders/>
            <w:vAlign w:val="center"/>
          </w:tcPr>
          <w:p>
            <w:pPr>
              <w:pStyle w:val="TableContents"/>
              <w:bidi w:val="0"/>
              <w:spacing w:before="0" w:after="283"/>
              <w:jc w:val="both"/>
              <w:rPr/>
            </w:pPr>
            <w:r>
              <w:rPr/>
              <w:t> </w:t>
            </w:r>
          </w:p>
        </w:tc>
      </w:tr>
      <w:tr>
        <w:trPr/>
        <w:tc>
          <w:tcPr>
            <w:tcW w:w="6603" w:type="dxa"/>
            <w:tcBorders/>
            <w:vAlign w:val="center"/>
          </w:tcPr>
          <w:p>
            <w:pPr>
              <w:pStyle w:val="TableContents"/>
              <w:bidi w:val="0"/>
              <w:spacing w:before="0" w:after="283"/>
              <w:jc w:val="both"/>
              <w:rPr>
                <w:sz w:val="20"/>
              </w:rPr>
            </w:pPr>
            <w:r>
              <w:rPr>
                <w:sz w:val="20"/>
              </w:rPr>
              <w:t>Holder’s Address: __________________________________________________</w:t>
            </w:r>
          </w:p>
        </w:tc>
        <w:tc>
          <w:tcPr>
            <w:tcW w:w="3602" w:type="dxa"/>
            <w:gridSpan w:val="2"/>
            <w:tcBorders/>
            <w:vAlign w:val="center"/>
          </w:tcPr>
          <w:p>
            <w:pPr>
              <w:pStyle w:val="TableContents"/>
              <w:bidi w:val="0"/>
              <w:spacing w:before="0" w:after="283"/>
              <w:jc w:val="both"/>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jc w:val="right"/>
        <w:rPr>
          <w:b/>
        </w:rPr>
      </w:pPr>
      <w:bookmarkStart w:id="3" w:name="a_002"/>
      <w:bookmarkEnd w:id="3"/>
      <w:r>
        <w:rPr>
          <w:b/>
        </w:rPr>
        <w:t>Exhibit 4.2</w:t>
      </w:r>
    </w:p>
    <w:p>
      <w:pPr>
        <w:pStyle w:val="TextBody"/>
        <w:bidi w:val="0"/>
        <w:spacing w:before="0" w:after="283"/>
        <w:jc w:val="left"/>
        <w:rPr/>
      </w:pPr>
      <w:r>
        <w:rPr/>
        <w:t> </w:t>
      </w:r>
    </w:p>
    <w:p>
      <w:pPr>
        <w:pStyle w:val="TextBody"/>
        <w:bidi w:val="0"/>
        <w:spacing w:before="0" w:after="0"/>
        <w:ind w:left="0" w:right="0" w:hanging="0"/>
        <w:jc w:val="center"/>
        <w:rPr>
          <w:b/>
          <w:sz w:val="20"/>
        </w:rPr>
      </w:pPr>
      <w:r>
        <w:rPr>
          <w:b/>
          <w:sz w:val="20"/>
        </w:rPr>
        <w:t>PLACEMENT AGENT ORDINARY SHARE PURCHASE WARRANT</w:t>
      </w:r>
    </w:p>
    <w:p>
      <w:pPr>
        <w:pStyle w:val="TextBody"/>
        <w:bidi w:val="0"/>
        <w:spacing w:before="0" w:after="0"/>
        <w:ind w:left="0" w:right="0" w:hanging="0"/>
        <w:jc w:val="both"/>
        <w:rPr/>
      </w:pPr>
      <w:r>
        <w:rPr/>
        <w:t> </w:t>
      </w:r>
    </w:p>
    <w:p>
      <w:pPr>
        <w:pStyle w:val="TextBody"/>
        <w:bidi w:val="0"/>
        <w:spacing w:before="0" w:after="0"/>
        <w:ind w:left="0" w:right="0" w:hanging="0"/>
        <w:jc w:val="center"/>
        <w:rPr>
          <w:b/>
          <w:caps/>
          <w:sz w:val="20"/>
        </w:rPr>
      </w:pPr>
      <w:r>
        <w:rPr>
          <w:b/>
          <w:caps/>
          <w:sz w:val="20"/>
        </w:rPr>
        <w:t>alphaton capital corp</w:t>
      </w:r>
    </w:p>
    <w:p>
      <w:pPr>
        <w:pStyle w:val="TextBody"/>
        <w:bidi w:val="0"/>
        <w:spacing w:before="0" w:after="0"/>
        <w:ind w:left="0" w:right="0" w:hanging="0"/>
        <w:jc w:val="center"/>
        <w:rPr/>
      </w:pPr>
      <w:r>
        <w:rPr/>
        <w:t> </w:t>
      </w:r>
    </w:p>
    <w:tbl>
      <w:tblPr>
        <w:tblW w:w="5230" w:type="dxa"/>
        <w:jc w:val="left"/>
        <w:tblInd w:w="0" w:type="dxa"/>
        <w:tblLayout w:type="fixed"/>
        <w:tblCellMar>
          <w:top w:w="0" w:type="dxa"/>
          <w:left w:w="0" w:type="dxa"/>
          <w:bottom w:w="0" w:type="dxa"/>
          <w:right w:w="0" w:type="dxa"/>
        </w:tblCellMar>
      </w:tblPr>
      <w:tblGrid>
        <w:gridCol w:w="1985"/>
        <w:gridCol w:w="60"/>
        <w:gridCol w:w="3185"/>
      </w:tblGrid>
      <w:tr>
        <w:trPr/>
        <w:tc>
          <w:tcPr>
            <w:tcW w:w="1985" w:type="dxa"/>
            <w:tcBorders/>
            <w:vAlign w:val="center"/>
          </w:tcPr>
          <w:p>
            <w:pPr>
              <w:pStyle w:val="TableContents"/>
              <w:bidi w:val="0"/>
              <w:spacing w:before="0" w:after="283"/>
              <w:jc w:val="left"/>
              <w:rPr>
                <w:sz w:val="20"/>
              </w:rPr>
            </w:pPr>
            <w:r>
              <w:rPr>
                <w:sz w:val="20"/>
              </w:rPr>
              <w:t>Warrant Shares: ______</w:t>
            </w:r>
          </w:p>
        </w:tc>
        <w:tc>
          <w:tcPr>
            <w:tcW w:w="6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right"/>
              <w:rPr>
                <w:sz w:val="20"/>
              </w:rPr>
            </w:pPr>
            <w:r>
              <w:rPr>
                <w:sz w:val="20"/>
              </w:rPr>
              <w:t>Initial Exercise Date: January 14, 2026</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THIS PLACEMENT AGENT ORDINARY SHARE PURCHASE WARRANT (the “</w:t>
      </w:r>
      <w:r>
        <w:rPr>
          <w:sz w:val="20"/>
          <w:u w:val="single"/>
        </w:rPr>
        <w:t>Warrant</w:t>
      </w:r>
      <w:r>
        <w:rPr>
          <w:sz w:val="20"/>
        </w:rPr>
        <w:t>”) certifies that, for value received, _____________ or its assigns (the “</w:t>
      </w:r>
      <w:r>
        <w:rPr>
          <w:sz w:val="20"/>
          <w:u w:val="single"/>
        </w:rPr>
        <w:t>Holder</w:t>
      </w:r>
      <w:r>
        <w:rPr>
          <w:sz w:val="20"/>
        </w:rPr>
        <w:t>”) is entitled, upon the terms and subject to the limitations on exercise and the conditions hereinafter set forth, at any time on or after the date hereof (the “</w:t>
      </w:r>
      <w:r>
        <w:rPr>
          <w:sz w:val="20"/>
          <w:u w:val="single"/>
        </w:rPr>
        <w:t>Initial Exercise Date</w:t>
      </w:r>
      <w:r>
        <w:rPr>
          <w:sz w:val="20"/>
        </w:rPr>
        <w:t>”) and on or prior to 5:00 p.m. (New York City time) on January 13, 2031 (the “</w:t>
      </w:r>
      <w:r>
        <w:rPr>
          <w:sz w:val="20"/>
          <w:u w:val="single"/>
        </w:rPr>
        <w:t>Termination Date</w:t>
      </w:r>
      <w:r>
        <w:rPr>
          <w:sz w:val="20"/>
        </w:rPr>
        <w:t>”) but not thereafter, to subscribe for and purchase from AlphaTON Capital Corp, a British Virgin Islands corporation (the “</w:t>
      </w:r>
      <w:r>
        <w:rPr>
          <w:sz w:val="20"/>
          <w:u w:val="single"/>
        </w:rPr>
        <w:t>Company</w:t>
      </w:r>
      <w:r>
        <w:rPr>
          <w:sz w:val="20"/>
        </w:rPr>
        <w:t>”), up to ______ Ordinary Shares (as subject to adjustment hereunder, the “</w:t>
      </w:r>
      <w:r>
        <w:rPr>
          <w:sz w:val="20"/>
          <w:u w:val="single"/>
        </w:rPr>
        <w:t>Warrant Shares</w:t>
      </w:r>
      <w:r>
        <w:rPr>
          <w:sz w:val="20"/>
        </w:rPr>
        <w:t>”) of Ordinary Share. The purchase price of one Ordinary Share under this Warrant shall be equal to the Exercise Price, as defined in Section 2(b). This Warrant is issued pursuant to the Engagement Agreement, dated January 13, 2026, by and between the Company and H.C. Wainwright &amp; Co. LLC.</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sz w:val="20"/>
          <w:u w:val="single"/>
        </w:rPr>
        <w:t>Section 1</w:t>
      </w:r>
      <w:r>
        <w:rPr>
          <w:sz w:val="20"/>
        </w:rPr>
        <w:t>.</w:t>
        <w:tab/>
      </w:r>
      <w:r>
        <w:rPr>
          <w:sz w:val="20"/>
          <w:u w:val="single"/>
        </w:rPr>
        <w:t>Definitions</w:t>
      </w:r>
      <w:r>
        <w:rPr>
          <w:sz w:val="20"/>
        </w:rPr>
        <w:t>. Capitalized terms used and not otherwise defined herein shall have the meanings set forth in that certain Securities Purchase Agreement (the “</w:t>
      </w:r>
      <w:r>
        <w:rPr>
          <w:sz w:val="20"/>
          <w:u w:val="single"/>
        </w:rPr>
        <w:t>Purchase Agreement</w:t>
      </w:r>
      <w:r>
        <w:rPr>
          <w:sz w:val="20"/>
        </w:rPr>
        <w:t>”), dated January 13, 2026, among the Company and the purchasers signatory thereto.</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u w:val="single"/>
        </w:rPr>
        <w:t>Section 2</w:t>
      </w:r>
      <w:r>
        <w:rPr>
          <w:sz w:val="20"/>
        </w:rPr>
        <w:t>.</w:t>
        <w:tab/>
      </w:r>
      <w:r>
        <w:rPr>
          <w:sz w:val="20"/>
          <w:u w:val="single"/>
        </w:rPr>
        <w:t>Exercise</w:t>
      </w:r>
      <w:r>
        <w:rPr>
          <w:sz w:val="20"/>
        </w:rPr>
        <w:t>.</w:t>
      </w:r>
    </w:p>
    <w:p>
      <w:pPr>
        <w:pStyle w:val="TextBody"/>
        <w:bidi w:val="0"/>
        <w:spacing w:before="0" w:after="0"/>
        <w:ind w:left="0" w:right="0" w:firstLine="720"/>
        <w:jc w:val="both"/>
        <w:rPr/>
      </w:pPr>
      <w:r>
        <w:rPr/>
        <w:t> </w:t>
      </w:r>
    </w:p>
    <w:p>
      <w:pPr>
        <w:pStyle w:val="TextBody"/>
        <w:bidi w:val="0"/>
        <w:spacing w:before="0" w:after="0"/>
        <w:ind w:left="720" w:right="0" w:firstLine="720"/>
        <w:jc w:val="both"/>
        <w:rPr>
          <w:sz w:val="20"/>
        </w:rPr>
      </w:pPr>
      <w:r>
        <w:rPr>
          <w:sz w:val="20"/>
        </w:rPr>
        <w:t xml:space="preserve">a)                  </w:t>
      </w:r>
      <w:r>
        <w:rPr>
          <w:sz w:val="20"/>
          <w:u w:val="single"/>
        </w:rPr>
        <w:t>Exercise of Warrant</w:t>
      </w:r>
      <w:r>
        <w:rPr>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sz w:val="20"/>
          <w:u w:val="single"/>
        </w:rPr>
        <w:t>Notice of Exercise</w:t>
      </w:r>
      <w:r>
        <w:rPr>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on the Trading Day of receipt of such notice. </w:t>
      </w:r>
      <w:r>
        <w:rPr>
          <w:b/>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72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b)                  </w:t>
      </w:r>
      <w:r>
        <w:rPr>
          <w:sz w:val="20"/>
          <w:u w:val="single"/>
        </w:rPr>
        <w:t>Exercise Price</w:t>
      </w:r>
      <w:r>
        <w:rPr>
          <w:sz w:val="20"/>
        </w:rPr>
        <w:t xml:space="preserve">. The exercise price per Ordinary Share under this Warrant shall be </w:t>
      </w:r>
      <w:r>
        <w:rPr>
          <w:b/>
          <w:sz w:val="20"/>
        </w:rPr>
        <w:t>$</w:t>
      </w:r>
      <w:r>
        <w:rPr>
          <w:sz w:val="20"/>
        </w:rPr>
        <w:t>1.25, subject to adjustment hereunder (the “</w:t>
      </w:r>
      <w:r>
        <w:rPr>
          <w:sz w:val="20"/>
          <w:u w:val="single"/>
        </w:rPr>
        <w:t>Exercise Price</w:t>
      </w:r>
      <w:r>
        <w:rPr>
          <w:sz w:val="20"/>
        </w:rPr>
        <w: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c)                  </w:t>
      </w:r>
      <w:r>
        <w:rPr>
          <w:sz w:val="20"/>
          <w:u w:val="single"/>
        </w:rPr>
        <w:t>Cashless Exercise</w:t>
      </w:r>
      <w:r>
        <w:rPr>
          <w:sz w:val="20"/>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720" w:right="0" w:firstLine="720"/>
        <w:jc w:val="both"/>
        <w:rPr/>
      </w:pPr>
      <w:r>
        <w:rPr/>
        <w:t> </w:t>
      </w:r>
    </w:p>
    <w:p>
      <w:pPr>
        <w:pStyle w:val="TextBody"/>
        <w:bidi w:val="0"/>
        <w:spacing w:before="0" w:after="0"/>
        <w:ind w:left="2070" w:right="0" w:hanging="630"/>
        <w:jc w:val="both"/>
        <w:rPr>
          <w:sz w:val="20"/>
        </w:rPr>
      </w:pPr>
      <w:r>
        <w:rPr>
          <w:sz w:val="20"/>
        </w:rPr>
        <w:t>(A) =    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the highest Bid Price of the Ordinary Shares on the principal Trading Market as reported by Bloomberg L.P. (“</w:t>
      </w:r>
      <w:r>
        <w:rPr>
          <w:sz w:val="20"/>
          <w:u w:val="single"/>
        </w:rPr>
        <w:t>Bloomberg</w:t>
      </w:r>
      <w:r>
        <w:rPr>
          <w:sz w:val="20"/>
        </w:rPr>
        <w:t>”) within two (2) hours of the time of the Holder’s delivery of the Notice of Exercise pursuant to Section 2(a)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p>
      <w:pPr>
        <w:pStyle w:val="TextBody"/>
        <w:bidi w:val="0"/>
        <w:spacing w:before="0" w:after="0"/>
        <w:ind w:left="2160" w:right="0" w:hanging="720"/>
        <w:jc w:val="both"/>
        <w:rPr/>
      </w:pPr>
      <w:r>
        <w:rPr/>
        <w:t> </w:t>
      </w:r>
    </w:p>
    <w:p>
      <w:pPr>
        <w:pStyle w:val="TextBody"/>
        <w:bidi w:val="0"/>
        <w:spacing w:before="0" w:after="0"/>
        <w:ind w:left="2160" w:right="0" w:hanging="720"/>
        <w:jc w:val="both"/>
        <w:rPr>
          <w:sz w:val="20"/>
        </w:rPr>
      </w:pPr>
      <w:r>
        <w:rPr>
          <w:sz w:val="20"/>
        </w:rPr>
        <w:t>(B) =     the Exercise Price of this Warrant, as adjusted hereunder; and</w:t>
      </w:r>
    </w:p>
    <w:p>
      <w:pPr>
        <w:pStyle w:val="TextBody"/>
        <w:bidi w:val="0"/>
        <w:spacing w:before="0" w:after="0"/>
        <w:ind w:left="2160" w:right="0" w:hanging="720"/>
        <w:jc w:val="both"/>
        <w:rPr/>
      </w:pPr>
      <w:r>
        <w:rPr/>
        <w:t> </w:t>
      </w:r>
    </w:p>
    <w:p>
      <w:pPr>
        <w:pStyle w:val="TextBody"/>
        <w:bidi w:val="0"/>
        <w:spacing w:before="0" w:after="0"/>
        <w:ind w:left="2070" w:right="0" w:hanging="630"/>
        <w:jc w:val="both"/>
        <w:rPr>
          <w:sz w:val="20"/>
        </w:rPr>
      </w:pPr>
      <w:r>
        <w:rPr>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spacing w:before="0" w:after="0"/>
        <w:ind w:left="2070" w:right="0" w:hanging="630"/>
        <w:jc w:val="both"/>
        <w:rPr/>
      </w:pPr>
      <w:r>
        <w:rPr/>
        <w:t> </w:t>
      </w:r>
    </w:p>
    <w:p>
      <w:pPr>
        <w:pStyle w:val="TextBody"/>
        <w:bidi w:val="0"/>
        <w:spacing w:before="0" w:after="0"/>
        <w:ind w:left="720" w:right="0" w:firstLine="720"/>
        <w:jc w:val="both"/>
        <w:rPr>
          <w:sz w:val="20"/>
          <w:shd w:fill="FFFFFF" w:val="clear"/>
        </w:rPr>
      </w:pPr>
      <w:r>
        <w:rPr>
          <w:sz w:val="20"/>
          <w:shd w:fill="FFFFFF" w:val="clear"/>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pStyle w:val="TextBody"/>
        <w:bidi w:val="0"/>
        <w:spacing w:before="0" w:after="0"/>
        <w:ind w:left="72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pPr>
      <w:r>
        <w:rPr/>
        <w:t>“</w:t>
      </w:r>
      <w:r>
        <w:rPr>
          <w:sz w:val="20"/>
          <w:u w:val="single"/>
        </w:rPr>
        <w:t>Bid Price</w:t>
      </w:r>
      <w:r>
        <w:rPr>
          <w:sz w:val="20"/>
        </w:rPr>
        <w:t>” means, for any date, the price determined by the first of the following clauses that applies: (a) if the Ordinary Shares are then listed or quoted on a Trading Market, the bid price of the Ordinary Share for the time in question (or the nearest preceding date) on the Trading Market on which the Ordinary Share is then listed or quoted as reported by Bloomberg (based on a Trading Day from 9:30 a.m. (New York City time) to 4:02 p.m. (New York City time)), (b)  if OTCQB or OTCQX is not a Trading Market, the volume weighted average price of the Ordinary Share for such date (or the nearest preceding date) on OTCQB or OTCQX as applicable, (c) if the Ordinary Shares are not then listed or quoted for trading on OTCQB or OTCQX and if prices for the Ordinary Share are then reported on The Pink Open Market (or a similar organization or agency succeeding to its functions of reporting prices), the most recent bid price per share of the Ordinary Share so reported, or (d) in all other cases, the fair market value of an Ordinary Share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VWAP</w:t>
      </w:r>
      <w:r>
        <w:rPr>
          <w:sz w:val="20"/>
        </w:rPr>
        <w:t>” means, for any date, the price determined by the first of the following clauses that applies: (a) if the Ordinary Shares are then listed or quoted on a Trading Market, the daily volume weighted average price of the Ordinary Share for such date (or the nearest preceding date) on the Trading Market on which the Ordinary Shares are then listed or quoted as reported by Bloomberg (based on a Trading Day from 9:30 a.m. (New York City time) to 4:02 p.m. (New York City time)), (b)  if the OTCQB Venture Market (“</w:t>
      </w:r>
      <w:r>
        <w:rPr>
          <w:sz w:val="20"/>
          <w:u w:val="single"/>
        </w:rPr>
        <w:t>OTCQB</w:t>
      </w:r>
      <w:r>
        <w:rPr>
          <w:sz w:val="20"/>
        </w:rPr>
        <w:t>”) or the OTCQX Best Market (“</w:t>
      </w:r>
      <w:r>
        <w:rPr>
          <w:sz w:val="20"/>
          <w:u w:val="single"/>
        </w:rPr>
        <w:t>OTCQX</w:t>
      </w:r>
      <w:r>
        <w:rPr>
          <w:sz w:val="20"/>
        </w:rPr>
        <w:t>”) is not a Trading Market, the volume weighted average price of the Ordinary Share for such date (or the nearest preceding date) on OTCQB or OTCQX as applicable, (c) if the Ordinary Shars are not then listed or quoted for trading on OTCQB or OTCQX and if prices for the Ordinary Share are then reported on the Pink Open Market (“</w:t>
      </w:r>
      <w:r>
        <w:rPr>
          <w:sz w:val="20"/>
          <w:u w:val="single"/>
        </w:rPr>
        <w:t>Pink Market</w:t>
      </w:r>
      <w:r>
        <w:rPr>
          <w:sz w:val="20"/>
        </w:rPr>
        <w:t>”) operated by the OTC Markets, Inc. (or a similar organization or agency succeeding to its functions of reporting prices), the most recent bid price per share of the Ordinary Share so reported, or (d) in all other cases, the fair market value of an Ordinary Share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Notwithstanding anything herein to the contrary, on the Termination Date, this Warrant shall be automatically exercised via cashless exercise pursuant to this Section 2(c).</w:t>
      </w:r>
    </w:p>
    <w:p>
      <w:pPr>
        <w:pStyle w:val="TextBody"/>
        <w:bidi w:val="0"/>
        <w:spacing w:before="0" w:after="0"/>
        <w:ind w:left="2070" w:right="0" w:hanging="630"/>
        <w:jc w:val="both"/>
        <w:rPr/>
      </w:pPr>
      <w:r>
        <w:rPr/>
        <w:t> </w:t>
      </w:r>
    </w:p>
    <w:tbl>
      <w:tblPr>
        <w:tblW w:w="5000" w:type="pct"/>
        <w:jc w:val="left"/>
        <w:tblInd w:w="0" w:type="dxa"/>
        <w:tblLayout w:type="fixed"/>
        <w:tblCellMar>
          <w:top w:w="0" w:type="dxa"/>
          <w:left w:w="0" w:type="dxa"/>
          <w:bottom w:w="0" w:type="dxa"/>
          <w:right w:w="0" w:type="dxa"/>
        </w:tblCellMar>
      </w:tblPr>
      <w:tblGrid>
        <w:gridCol w:w="155"/>
        <w:gridCol w:w="880"/>
        <w:gridCol w:w="9170"/>
      </w:tblGrid>
      <w:tr>
        <w:trPr/>
        <w:tc>
          <w:tcPr>
            <w:tcW w:w="155"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pPr>
            <w:r>
              <w:rPr/>
              <w:t>d)</w:t>
            </w:r>
          </w:p>
        </w:tc>
        <w:tc>
          <w:tcPr>
            <w:tcW w:w="9170" w:type="dxa"/>
            <w:tcBorders/>
            <w:vAlign w:val="center"/>
          </w:tcPr>
          <w:p>
            <w:pPr>
              <w:pStyle w:val="TableContents"/>
              <w:bidi w:val="0"/>
              <w:spacing w:before="0" w:after="283"/>
              <w:jc w:val="both"/>
              <w:rPr/>
            </w:pPr>
            <w:r>
              <w:rPr>
                <w:u w:val="single"/>
              </w:rPr>
              <w:t>Mechanics of Exercise</w:t>
            </w:r>
            <w:r>
              <w:rPr/>
              <w:t>.</w:t>
            </w:r>
          </w:p>
        </w:tc>
      </w:tr>
    </w:tbl>
    <w:p>
      <w:pPr>
        <w:pStyle w:val="TextBody"/>
        <w:bidi w:val="0"/>
        <w:spacing w:before="0" w:after="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160" w:right="0" w:firstLine="720"/>
        <w:jc w:val="both"/>
        <w:rPr>
          <w:sz w:val="20"/>
        </w:rPr>
      </w:pPr>
      <w:r>
        <w:rPr>
          <w:sz w:val="20"/>
        </w:rPr>
        <w:t xml:space="preserve">i.            </w:t>
      </w:r>
      <w:r>
        <w:rPr>
          <w:sz w:val="20"/>
          <w:u w:val="single"/>
        </w:rPr>
        <w:t>Delivery of Warrant Shares Upon Exercise</w:t>
      </w:r>
      <w:r>
        <w:rPr>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sz w:val="20"/>
          <w:u w:val="single"/>
        </w:rPr>
        <w:t>DWAC</w:t>
      </w:r>
      <w:r>
        <w:rPr>
          <w:sz w:val="20"/>
        </w:rPr>
        <w:t>”) if the Company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sz w:val="20"/>
          <w:u w:val="single"/>
        </w:rPr>
        <w:t>Warrant Share Delivery Date</w:t>
      </w:r>
      <w:r>
        <w:rPr>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Ordinary Shares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sz w:val="20"/>
          <w:u w:val="single"/>
        </w:rPr>
        <w:t>Standard Settlement Period</w:t>
      </w:r>
      <w:r>
        <w:rPr>
          <w:sz w:val="20"/>
        </w:rPr>
        <w:t>” means the standard settlement period, expressed in a number of Trading Days, on the Company’s primary Trading Market with respect to the Ordinary Shares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pStyle w:val="TextBody"/>
        <w:bidi w:val="0"/>
        <w:spacing w:before="0" w:after="0"/>
        <w:ind w:left="2160" w:right="0" w:firstLine="720"/>
        <w:jc w:val="both"/>
        <w:rPr/>
      </w:pPr>
      <w:r>
        <w:rPr/>
        <w:t> </w:t>
      </w:r>
    </w:p>
    <w:p>
      <w:pPr>
        <w:pStyle w:val="TextBody"/>
        <w:bidi w:val="0"/>
        <w:spacing w:before="0" w:after="0"/>
        <w:ind w:left="2160" w:right="0" w:firstLine="720"/>
        <w:jc w:val="both"/>
        <w:rPr>
          <w:sz w:val="20"/>
        </w:rPr>
      </w:pPr>
      <w:r>
        <w:rPr>
          <w:sz w:val="20"/>
        </w:rPr>
        <w:t xml:space="preserve">ii.            </w:t>
      </w:r>
      <w:r>
        <w:rPr>
          <w:sz w:val="20"/>
          <w:u w:val="single"/>
        </w:rPr>
        <w:t>Delivery of New Warrants Upon Exercise</w:t>
      </w:r>
      <w:r>
        <w:rPr>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216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160" w:right="0" w:firstLine="720"/>
        <w:jc w:val="both"/>
        <w:rPr>
          <w:sz w:val="20"/>
        </w:rPr>
      </w:pPr>
      <w:r>
        <w:rPr>
          <w:sz w:val="20"/>
        </w:rPr>
        <w:t xml:space="preserve">iii.            </w:t>
      </w:r>
      <w:r>
        <w:rPr>
          <w:sz w:val="20"/>
          <w:u w:val="single"/>
        </w:rPr>
        <w:t>Rescission Rights</w:t>
      </w:r>
      <w:r>
        <w:rPr>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0"/>
        <w:ind w:left="2160" w:right="0" w:firstLine="720"/>
        <w:jc w:val="both"/>
        <w:rPr/>
      </w:pPr>
      <w:r>
        <w:rPr/>
        <w:t> </w:t>
      </w:r>
    </w:p>
    <w:p>
      <w:pPr>
        <w:pStyle w:val="TextBody"/>
        <w:bidi w:val="0"/>
        <w:spacing w:before="0" w:after="0"/>
        <w:ind w:left="2160" w:right="0" w:firstLine="720"/>
        <w:jc w:val="both"/>
        <w:rPr>
          <w:sz w:val="20"/>
        </w:rPr>
      </w:pPr>
      <w:r>
        <w:rPr>
          <w:sz w:val="20"/>
        </w:rPr>
        <w:t xml:space="preserve">iv.            </w:t>
      </w:r>
      <w:r>
        <w:rPr>
          <w:sz w:val="20"/>
          <w:u w:val="single"/>
        </w:rPr>
        <w:t>Compensation for Buy-In on Failure to Timely Deliver Warrant Shares Upon Exercise</w:t>
      </w:r>
      <w:r>
        <w:rPr>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Ordinary Shares to deliver in satisfaction of a sale by the Holder of the Warrant Shares which the Holder anticipated receiving upon such exercise (a “</w:t>
      </w:r>
      <w:r>
        <w:rPr>
          <w:sz w:val="20"/>
          <w:u w:val="single"/>
        </w:rPr>
        <w:t>Buy-In</w:t>
      </w:r>
      <w:r>
        <w:rPr>
          <w:sz w:val="20"/>
        </w:rPr>
        <w:t>”), then the Company shall (A) pay in cash to the Holder the amount, if any, by which (x) the Holder’s total purchase price (including brokerage commissions, if any) for the Ordinary Shares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Ordinary Shares that would have been issued had the Company timely complied with its exercise and delivery obligations hereunder. For example, if the Holder purchases Ordinary Shares having a total purchase price of $11,000 to cover a Buy-In with respect to an attempted exercise of Ordinary Shares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Ordinary Shares upon exercise of the Warrant as required pursuant to the terms hereof.</w:t>
      </w:r>
    </w:p>
    <w:p>
      <w:pPr>
        <w:pStyle w:val="TextBody"/>
        <w:bidi w:val="0"/>
        <w:spacing w:before="0" w:after="0"/>
        <w:ind w:left="2160" w:right="0" w:firstLine="720"/>
        <w:jc w:val="both"/>
        <w:rPr/>
      </w:pPr>
      <w:r>
        <w:rPr/>
        <w:t> </w:t>
      </w:r>
    </w:p>
    <w:p>
      <w:pPr>
        <w:pStyle w:val="TextBody"/>
        <w:bidi w:val="0"/>
        <w:spacing w:before="0" w:after="0"/>
        <w:ind w:left="2160" w:right="0" w:firstLine="720"/>
        <w:jc w:val="both"/>
        <w:rPr>
          <w:sz w:val="20"/>
        </w:rPr>
      </w:pPr>
      <w:r>
        <w:rPr>
          <w:sz w:val="20"/>
        </w:rPr>
        <w:t xml:space="preserve">v.            </w:t>
      </w:r>
      <w:r>
        <w:rPr>
          <w:sz w:val="20"/>
          <w:u w:val="single"/>
        </w:rPr>
        <w:t>No Fractional Shares or Scrip</w:t>
      </w:r>
      <w:r>
        <w:rPr>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216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160" w:right="0" w:firstLine="720"/>
        <w:jc w:val="both"/>
        <w:rPr>
          <w:sz w:val="20"/>
        </w:rPr>
      </w:pPr>
      <w:r>
        <w:rPr>
          <w:sz w:val="20"/>
        </w:rPr>
        <w:t xml:space="preserve">vi.            </w:t>
      </w:r>
      <w:r>
        <w:rPr>
          <w:sz w:val="20"/>
          <w:u w:val="single"/>
        </w:rPr>
        <w:t>Charges, Taxes and Expenses</w:t>
      </w:r>
      <w:r>
        <w:rPr>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sz w:val="20"/>
          <w:u w:val="single"/>
        </w:rPr>
        <w:t>provided</w:t>
      </w:r>
      <w:r>
        <w:rPr>
          <w:sz w:val="20"/>
        </w:rPr>
        <w:t xml:space="preserve">, </w:t>
      </w:r>
      <w:r>
        <w:rPr>
          <w:sz w:val="20"/>
          <w:u w:val="single"/>
        </w:rPr>
        <w:t>however</w:t>
      </w:r>
      <w:r>
        <w:rPr>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2160" w:right="0" w:firstLine="720"/>
        <w:jc w:val="both"/>
        <w:rPr/>
      </w:pPr>
      <w:r>
        <w:rPr/>
        <w:t> </w:t>
      </w:r>
    </w:p>
    <w:p>
      <w:pPr>
        <w:pStyle w:val="TextBody"/>
        <w:bidi w:val="0"/>
        <w:spacing w:before="0" w:after="0"/>
        <w:ind w:left="2160" w:right="0" w:firstLine="720"/>
        <w:jc w:val="both"/>
        <w:rPr>
          <w:sz w:val="20"/>
        </w:rPr>
      </w:pPr>
      <w:r>
        <w:rPr>
          <w:sz w:val="20"/>
        </w:rPr>
        <w:t xml:space="preserve">vii.            </w:t>
      </w:r>
      <w:r>
        <w:rPr>
          <w:sz w:val="20"/>
          <w:u w:val="single"/>
        </w:rPr>
        <w:t>Closing of Books</w:t>
      </w:r>
      <w:r>
        <w:rPr>
          <w:sz w:val="20"/>
        </w:rPr>
        <w:t>. The Company will not close its stockholder books or records in any manner which prevents the timely exercise of this Warrant, pursuant to the terms hereof.</w:t>
      </w:r>
    </w:p>
    <w:p>
      <w:pPr>
        <w:pStyle w:val="TextBody"/>
        <w:bidi w:val="0"/>
        <w:spacing w:before="0" w:after="0"/>
        <w:ind w:left="2160" w:right="0" w:firstLine="720"/>
        <w:jc w:val="both"/>
        <w:rPr/>
      </w:pPr>
      <w:r>
        <w:rPr/>
        <w:t> </w:t>
      </w:r>
    </w:p>
    <w:p>
      <w:pPr>
        <w:pStyle w:val="TextBody"/>
        <w:bidi w:val="0"/>
        <w:spacing w:before="0" w:after="0"/>
        <w:ind w:left="2160" w:right="0" w:firstLine="720"/>
        <w:jc w:val="both"/>
        <w:rPr/>
      </w:pPr>
      <w:r>
        <w:rPr/>
        <w:t> </w:t>
      </w:r>
    </w:p>
    <w:p>
      <w:pPr>
        <w:pStyle w:val="TextBody"/>
        <w:bidi w:val="0"/>
        <w:spacing w:before="0" w:after="0"/>
        <w:ind w:left="2160" w:right="0" w:firstLine="720"/>
        <w:jc w:val="both"/>
        <w:rPr/>
      </w:pPr>
      <w:r>
        <w:rPr/>
        <w:t> </w:t>
      </w:r>
    </w:p>
    <w:p>
      <w:pPr>
        <w:pStyle w:val="TextBody"/>
        <w:bidi w:val="0"/>
        <w:spacing w:before="0" w:after="0"/>
        <w:ind w:left="2160" w:right="0" w:firstLine="720"/>
        <w:jc w:val="both"/>
        <w:rPr/>
      </w:pPr>
      <w:r>
        <w:rPr/>
        <w:t> </w:t>
      </w:r>
    </w:p>
    <w:p>
      <w:pPr>
        <w:pStyle w:val="TextBody"/>
        <w:bidi w:val="0"/>
        <w:spacing w:before="0" w:after="0"/>
        <w:ind w:left="2160" w:right="0" w:firstLine="720"/>
        <w:jc w:val="both"/>
        <w:rPr/>
      </w:pPr>
      <w:r>
        <w:rPr/>
        <w:t> </w:t>
      </w:r>
    </w:p>
    <w:p>
      <w:pPr>
        <w:pStyle w:val="TextBody"/>
        <w:bidi w:val="0"/>
        <w:spacing w:before="0" w:after="0"/>
        <w:ind w:left="216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160" w:right="0" w:firstLine="72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6"/>
        <w:gridCol w:w="10042"/>
      </w:tblGrid>
      <w:tr>
        <w:trPr/>
        <w:tc>
          <w:tcPr>
            <w:tcW w:w="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pPr>
            <w:r>
              <w:rPr/>
              <w:t>e)</w:t>
            </w:r>
          </w:p>
        </w:tc>
        <w:tc>
          <w:tcPr>
            <w:tcW w:w="10042" w:type="dxa"/>
            <w:tcBorders/>
            <w:vAlign w:val="center"/>
          </w:tcPr>
          <w:p>
            <w:pPr>
              <w:pStyle w:val="TableContents"/>
              <w:bidi w:val="0"/>
              <w:spacing w:before="0" w:after="283"/>
              <w:jc w:val="both"/>
              <w:rPr/>
            </w:pPr>
            <w:r>
              <w:rPr>
                <w:u w:val="single"/>
              </w:rPr>
              <w:t>Holder’s Exercise Limitations</w:t>
            </w:r>
            <w:r>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u w:val="single"/>
              </w:rPr>
              <w:t>Attribution Parties</w:t>
            </w:r>
            <w:r>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issuable upon exercise of this Warrant with respect to which such determination is being made, but shall exclude the number of Ordinary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Ordinary Shares, a Holder may rely on the number of outstanding Ordinary Shares as reflected in (A) the Company’s most recent periodic or annual report filed with the Commission, as the case may be, (B) a more recent public announcement by the Company or (C) a more recent written notice by the Company or the Transfer Agent setting forth the number of Ordinary Shares outstanding.  Upon the written or oral request of a Holder, the Company shall within one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u w:val="single"/>
              </w:rPr>
              <w:t>Beneficial Ownership Limitation</w:t>
            </w:r>
            <w:r>
              <w:rPr/>
              <w:t>” shall be [4.99%] [9.99%] of the number of Ordinary Shares outstanding immediately after giving effect to the issuance of Ordinary Shares issuable upon exercise of this Warrant. The Holder, upon notice to the Company, may increase or decrease the Beneficial Ownership Limitation provisions of this Section 2(e), provided that the Beneficial Ownership Limitation in no event exceeds 9.99% of the number of Ordinary Shares outstanding immediately after giving effect to the issuance of Ordinary Shares upon exercise of this Warrant held by the Holder and the provisions of this Section 2(e) shall continue to apply. Any increase in the Beneficial Ownership Limitation will not be effective until the 61</w:t>
            </w:r>
            <w:r>
              <w:rPr>
                <w:position w:val="8"/>
                <w:sz w:val="19"/>
              </w:rPr>
              <w:t>st</w:t>
            </w:r>
            <w:r>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tc>
      </w:tr>
    </w:tbl>
    <w:p>
      <w:pPr>
        <w:pStyle w:val="TextBody"/>
        <w:bidi w:val="0"/>
        <w:spacing w:before="0" w:after="0"/>
        <w:jc w:val="left"/>
        <w:rPr/>
      </w:pPr>
      <w:r>
        <w:rPr/>
        <w:t> </w:t>
      </w:r>
    </w:p>
    <w:p>
      <w:pPr>
        <w:pStyle w:val="TextBody"/>
        <w:bidi w:val="0"/>
        <w:spacing w:before="0" w:after="0"/>
        <w:ind w:left="0" w:right="0" w:firstLine="720"/>
        <w:jc w:val="both"/>
        <w:rPr>
          <w:sz w:val="20"/>
        </w:rPr>
      </w:pPr>
      <w:r>
        <w:rPr>
          <w:sz w:val="20"/>
          <w:u w:val="single"/>
        </w:rPr>
        <w:t>Section 3</w:t>
      </w:r>
      <w:r>
        <w:rPr>
          <w:sz w:val="20"/>
        </w:rPr>
        <w:t>.</w:t>
        <w:tab/>
      </w:r>
      <w:r>
        <w:rPr>
          <w:sz w:val="20"/>
          <w:u w:val="single"/>
        </w:rPr>
        <w:t>Certain Adjustments</w:t>
      </w:r>
      <w:r>
        <w:rPr>
          <w:sz w:val="20"/>
        </w:rPr>
        <w:t>.</w:t>
      </w:r>
    </w:p>
    <w:p>
      <w:pPr>
        <w:pStyle w:val="TextBody"/>
        <w:bidi w:val="0"/>
        <w:spacing w:before="0" w:after="0"/>
        <w:ind w:left="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a)                  </w:t>
      </w:r>
      <w:r>
        <w:rPr>
          <w:sz w:val="20"/>
          <w:u w:val="single"/>
        </w:rPr>
        <w:t>Stock Dividends and Splits</w:t>
      </w:r>
      <w:r>
        <w:rPr>
          <w:sz w:val="20"/>
        </w:rPr>
        <w:t>. If the Company, at any time while this Warrant is outstanding: (i) pays a stock dividend or otherwise makes a distribution or distributions on its Ordinary Shares or any other equity or equity equivalent securities payable in Ordinary Shares (which, for avoidance of doubt, shall not include any Ordinary Shares issued by the Company upon exercise of this Warrant), (ii) subdivides outstanding Ordinary Shares into a larger number of shares, (iii) combines (including by way of reverse stock split) outstanding Ordinary Shares into a smaller number of shares, or (iv) issues by reclassification of Ordinary Shares any shares of capital stock of the Company, then in each case the Exercise Price shall be multiplied by a fraction of which the numerator shall be the number of Ordinary Shares (excluding treasury shares, if any) outstanding immediately before such event and of which the denominator shall be the number of Ordinary Shares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b)                  [RESERVED]</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c)                  </w:t>
      </w:r>
      <w:r>
        <w:rPr>
          <w:sz w:val="20"/>
          <w:u w:val="single"/>
        </w:rPr>
        <w:t>Subsequent Rights Offerings</w:t>
      </w:r>
      <w:r>
        <w:rPr>
          <w:sz w:val="20"/>
        </w:rPr>
        <w:t>. In addition to any adjustments pursuant to Section 3(a) above, if at any time the Company grants, issues or sells any Ordinary Share Equivalents or rights to purchase stock, warrants, securities or other property pro rata to the record holders of any class of Ordinary Shares (the “</w:t>
      </w:r>
      <w:r>
        <w:rPr>
          <w:sz w:val="20"/>
          <w:u w:val="single"/>
        </w:rPr>
        <w:t>Purchase Rights</w:t>
      </w:r>
      <w:r>
        <w:rPr>
          <w:sz w:val="20"/>
        </w:rPr>
        <w:t>”), then the Holder will be entitled to acquire, upon the terms applicable to such Purchase Rights, the aggregate Purchase Rights which the Holder could have acquired if the Holder had held the number of Ordinary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Ordinary Shares are to be determined for the grant, issue or sale of such Purchase Rights (</w:t>
      </w:r>
      <w:r>
        <w:rPr>
          <w:sz w:val="20"/>
          <w:u w:val="single"/>
        </w:rPr>
        <w:t>provided</w:t>
      </w:r>
      <w:r>
        <w:rPr>
          <w:sz w:val="20"/>
        </w:rPr>
        <w:t xml:space="preserve">, </w:t>
      </w:r>
      <w:r>
        <w:rPr>
          <w:sz w:val="20"/>
          <w:u w:val="single"/>
        </w:rPr>
        <w:t>however</w:t>
      </w:r>
      <w:r>
        <w:rPr>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Ordinary Shares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d)                  </w:t>
      </w:r>
      <w:r>
        <w:rPr>
          <w:sz w:val="20"/>
          <w:u w:val="single"/>
        </w:rPr>
        <w:t>Pro Rata Distributions</w:t>
      </w:r>
      <w:r>
        <w:rPr>
          <w:sz w:val="20"/>
        </w:rPr>
        <w:t>. During such time as this Warrant is outstanding, if the Company shall declare or make any dividend or other distribution of its assets other than cash (or rights to acquire its assets) to holders of Ordinary Shares, by way of return of capital or otherwise (including, without limitation, any distribution of stock or other securities, property or options by way of a dividend, spin off, reclassification, corporate rearrangement, scheme of arrangement or other similar transaction) (a “</w:t>
      </w:r>
      <w:r>
        <w:rPr>
          <w:sz w:val="20"/>
          <w:u w:val="single"/>
        </w:rPr>
        <w:t>Distribution</w:t>
      </w:r>
      <w:r>
        <w:rPr>
          <w:sz w:val="20"/>
        </w:rPr>
        <w:t>”), at any time after the issuance of this Warrant, then, in each such case, the Holder shall be entitled to participate in such Distribution to the same extent that the Holder would have participated therein if the Holder had held the number of Ordinary Shares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Ordinary Shares are to be determined for the participation in such Distribution (</w:t>
      </w:r>
      <w:r>
        <w:rPr>
          <w:sz w:val="20"/>
          <w:u w:val="single"/>
        </w:rPr>
        <w:t>provided</w:t>
      </w:r>
      <w:r>
        <w:rPr>
          <w:sz w:val="20"/>
        </w:rPr>
        <w:t xml:space="preserve">, </w:t>
      </w:r>
      <w:r>
        <w:rPr>
          <w:sz w:val="20"/>
          <w:u w:val="single"/>
        </w:rPr>
        <w:t>however</w:t>
      </w:r>
      <w:r>
        <w:rPr>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Ordinary Shares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pStyle w:val="TextBody"/>
        <w:bidi w:val="0"/>
        <w:spacing w:before="0" w:after="0"/>
        <w:ind w:left="72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e)                  </w:t>
      </w:r>
      <w:r>
        <w:rPr>
          <w:sz w:val="20"/>
          <w:u w:val="single"/>
        </w:rPr>
        <w:t>Fundamental Transaction</w:t>
      </w:r>
      <w:r>
        <w:rPr>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greater than 50% of the outstanding Ordinary Shares or greater than 50% of the voting power of the common equity of the Company,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Ordinary Shares or greater than 50% of the voting power of the common equity of the Company (each a “</w:t>
      </w:r>
      <w:r>
        <w:rPr>
          <w:sz w:val="20"/>
          <w:u w:val="single"/>
        </w:rPr>
        <w:t>Fundamental Transaction</w:t>
      </w:r>
      <w:r>
        <w:rPr>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Ordinary Shares of the successor or acquiring corporation or of the Company, if it is the surviving corporation, and any additional consideration (the “</w:t>
      </w:r>
      <w:r>
        <w:rPr>
          <w:sz w:val="20"/>
          <w:u w:val="single"/>
        </w:rPr>
        <w:t>Alternate Consideration</w:t>
      </w:r>
      <w:r>
        <w:rPr>
          <w:sz w:val="20"/>
        </w:rPr>
        <w:t>”) receivable as a result of such Fundamental Transaction by a holder of the number of Ordinary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sz w:val="20"/>
        </w:rPr>
      </w:pPr>
      <w:r>
        <w:rPr>
          <w:sz w:val="20"/>
        </w:rPr>
        <w:t xml:space="preserve">issuable in respect of one Ordinary Shares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sz w:val="20"/>
          <w:u w:val="single"/>
        </w:rPr>
        <w:t>provided</w:t>
      </w:r>
      <w:r>
        <w:rPr>
          <w:sz w:val="20"/>
        </w:rPr>
        <w:t xml:space="preserve">, </w:t>
      </w:r>
      <w:r>
        <w:rPr>
          <w:sz w:val="20"/>
          <w:u w:val="single"/>
        </w:rPr>
        <w:t>however</w:t>
      </w:r>
      <w:r>
        <w:rPr>
          <w:sz w:val="20"/>
        </w:rPr>
        <w:t xml:space="preserve">,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Ordinary Shares of the Company in connection with the Fundamental Transaction, whether that consideration be in the form of cash, stock or any combination thereof, or whether the holders of Ordinary Shares are given the choice to receive from among alternative forms of consideration in connection with the Fundamental Transaction; </w:t>
      </w:r>
      <w:r>
        <w:rPr>
          <w:sz w:val="20"/>
          <w:u w:val="single"/>
        </w:rPr>
        <w:t>provided</w:t>
      </w:r>
      <w:r>
        <w:rPr>
          <w:sz w:val="20"/>
        </w:rPr>
        <w:t xml:space="preserve">, </w:t>
      </w:r>
      <w:r>
        <w:rPr>
          <w:sz w:val="20"/>
          <w:u w:val="single"/>
        </w:rPr>
        <w:t>further</w:t>
      </w:r>
      <w:r>
        <w:rPr>
          <w:sz w:val="20"/>
        </w:rPr>
        <w:t>, that if holders of Ordinary Shares of the Company are not offered or paid any consideration in such Fundamental Transaction, such holders of Ordinary Share will be deemed to have received Ordinary Share of the Successor Entity (which Successor Entity may be the Company following such Fundamental Transaction) in such Fundamental Transaction. “</w:t>
      </w:r>
      <w:r>
        <w:rPr>
          <w:sz w:val="20"/>
          <w:u w:val="single"/>
        </w:rPr>
        <w:t>Black Scholes Value</w:t>
      </w:r>
      <w:r>
        <w:rPr>
          <w:sz w:val="20"/>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 (C) the underlying price per share used in such calculation shall be the sum of the price per share being offered in cash, if any, plus the value of any non-cash consideration, if any, being offered in such Fundamental Transaction,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sz w:val="20"/>
          <w:u w:val="single"/>
        </w:rPr>
        <w:t>Successor Entity</w:t>
      </w:r>
      <w:r>
        <w:rPr>
          <w:sz w:val="20"/>
        </w:rPr>
        <w:t>”) to assume in writing all of the obligations of the Company under this Warrant and the other Transaction Documents in accordance with the provisions of this Section</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sz w:val="20"/>
        </w:rPr>
      </w:pPr>
      <w:r>
        <w:rPr>
          <w:sz w:val="20"/>
        </w:rPr>
        <w:t>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Ordinary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3(e) regardless of (i) whether the Company has sufficient authorized Ordinary Shares for the issuance of Warrant Shares and/or (ii) whether a Fundamental Transaction occurs prior to the Initial Exercise Date.</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f)                   </w:t>
      </w:r>
      <w:r>
        <w:rPr>
          <w:sz w:val="20"/>
          <w:u w:val="single"/>
        </w:rPr>
        <w:t>Calculations</w:t>
      </w:r>
      <w:r>
        <w:rPr>
          <w:sz w:val="20"/>
        </w:rPr>
        <w:t>. All calculations under this Section 3 shall be made to the nearest cent or the nearest 1/100th of a share, as the case may be. For purposes of this Section 3, the number of Ordinary Shares deemed to be issued and outstanding as of a given date shall be the sum of the number of Ordinary Shares (excluding treasury shares, if any) issued and outstanding.</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g)                  </w:t>
      </w:r>
      <w:r>
        <w:rPr>
          <w:sz w:val="20"/>
          <w:u w:val="single"/>
        </w:rPr>
        <w:t>Notice to Holder</w:t>
      </w:r>
      <w:r>
        <w:rPr>
          <w:sz w:val="20"/>
        </w:rPr>
        <w:t>.</w:t>
      </w:r>
    </w:p>
    <w:p>
      <w:pPr>
        <w:pStyle w:val="TextBody"/>
        <w:bidi w:val="0"/>
        <w:spacing w:before="0" w:after="0"/>
        <w:ind w:left="720" w:right="0" w:firstLine="720"/>
        <w:jc w:val="both"/>
        <w:rPr/>
      </w:pPr>
      <w:r>
        <w:rPr/>
        <w:t> </w:t>
      </w:r>
    </w:p>
    <w:p>
      <w:pPr>
        <w:pStyle w:val="TextBody"/>
        <w:bidi w:val="0"/>
        <w:spacing w:before="0" w:after="0"/>
        <w:ind w:left="2160" w:right="0" w:firstLine="720"/>
        <w:jc w:val="both"/>
        <w:rPr>
          <w:sz w:val="20"/>
        </w:rPr>
      </w:pPr>
      <w:r>
        <w:rPr>
          <w:sz w:val="20"/>
        </w:rPr>
        <w:t xml:space="preserve">i.            </w:t>
      </w:r>
      <w:r>
        <w:rPr>
          <w:sz w:val="20"/>
          <w:u w:val="single"/>
        </w:rPr>
        <w:t>Adjustment to Exercise Price</w:t>
      </w:r>
      <w:r>
        <w:rPr>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216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160" w:right="0" w:firstLine="720"/>
        <w:jc w:val="both"/>
        <w:rPr>
          <w:sz w:val="20"/>
        </w:rPr>
      </w:pPr>
      <w:r>
        <w:rPr>
          <w:sz w:val="20"/>
        </w:rPr>
        <w:t xml:space="preserve">ii.            </w:t>
      </w:r>
      <w:r>
        <w:rPr>
          <w:sz w:val="20"/>
          <w:u w:val="single"/>
        </w:rPr>
        <w:t>Notice to Allow Exercise by Holder</w:t>
      </w:r>
      <w:r>
        <w:rPr>
          <w:sz w:val="20"/>
        </w:rPr>
        <w:t>. If (A) the Company shall declare a dividend (or any other distribution in whatever form) on the Ordinary Shares, (B) the Company shall declare a special nonrecurring cash dividend on or a redemption of the Ordinary Share, (C) the Company shall authorize the granting to all holders of the Ordinary Shares rights or warrants to subscribe for or purchase any shares of capital stock of any class or of any rights, (D) the approval of any stockholders of the Company shall be required in connection with any reclassification of the Ordinary Shares, any consolidation or merger to which the Company (or any of its Subsidiaries) is a party, any sale or transfer of all or substantially all of its assets,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 of record shall be entitled to exchange their shares of the Ordinary Share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6-K.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2160" w:right="0" w:firstLine="720"/>
        <w:jc w:val="both"/>
        <w:rPr/>
      </w:pPr>
      <w:r>
        <w:rPr/>
        <w:t> </w:t>
      </w:r>
    </w:p>
    <w:p>
      <w:pPr>
        <w:pStyle w:val="TextBody"/>
        <w:bidi w:val="0"/>
        <w:spacing w:before="0" w:after="0"/>
        <w:ind w:left="720" w:right="0" w:firstLine="720"/>
        <w:jc w:val="both"/>
        <w:rPr>
          <w:sz w:val="20"/>
        </w:rPr>
      </w:pPr>
      <w:r>
        <w:rPr>
          <w:sz w:val="20"/>
        </w:rPr>
        <w:t xml:space="preserve">h)                  </w:t>
      </w:r>
      <w:r>
        <w:rPr>
          <w:sz w:val="20"/>
          <w:u w:val="single"/>
        </w:rPr>
        <w:t>Voluntary Adjustment By Company</w:t>
      </w:r>
      <w:r>
        <w:rPr>
          <w:sz w:val="20"/>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pStyle w:val="TextBody"/>
        <w:bidi w:val="0"/>
        <w:spacing w:before="0" w:after="0"/>
        <w:ind w:left="720" w:right="0" w:firstLine="720"/>
        <w:jc w:val="both"/>
        <w:rPr/>
      </w:pPr>
      <w:r>
        <w:rPr/>
        <w:t> </w:t>
      </w:r>
    </w:p>
    <w:p>
      <w:pPr>
        <w:pStyle w:val="TextBody"/>
        <w:bidi w:val="0"/>
        <w:spacing w:before="0" w:after="0"/>
        <w:ind w:left="0" w:right="0" w:firstLine="720"/>
        <w:jc w:val="both"/>
        <w:rPr>
          <w:sz w:val="20"/>
        </w:rPr>
      </w:pPr>
      <w:r>
        <w:rPr>
          <w:sz w:val="20"/>
          <w:u w:val="single"/>
        </w:rPr>
        <w:t>Section 4</w:t>
      </w:r>
      <w:r>
        <w:rPr>
          <w:sz w:val="20"/>
        </w:rPr>
        <w:t>.</w:t>
        <w:tab/>
      </w:r>
      <w:r>
        <w:rPr>
          <w:sz w:val="20"/>
          <w:u w:val="single"/>
        </w:rPr>
        <w:t>Transfer of Warrant</w:t>
      </w:r>
      <w:r>
        <w:rPr>
          <w:sz w:val="20"/>
        </w:rPr>
        <w:t>.</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a)                  </w:t>
      </w:r>
      <w:r>
        <w:rPr>
          <w:sz w:val="20"/>
          <w:u w:val="single"/>
        </w:rPr>
        <w:t>Transferability</w:t>
      </w:r>
      <w:r>
        <w:rPr>
          <w:sz w:val="20"/>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b)                  </w:t>
      </w:r>
      <w:r>
        <w:rPr>
          <w:sz w:val="20"/>
          <w:u w:val="single"/>
        </w:rPr>
        <w:t>New Warrants</w:t>
      </w:r>
      <w:r>
        <w:rPr>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c)                  </w:t>
      </w:r>
      <w:r>
        <w:rPr>
          <w:sz w:val="20"/>
          <w:u w:val="single"/>
        </w:rPr>
        <w:t>Warrant Register</w:t>
      </w:r>
      <w:r>
        <w:rPr>
          <w:sz w:val="20"/>
        </w:rPr>
        <w:t>. The Company shall register this Warrant, upon records to be maintained by the Company for that purpose (the “</w:t>
      </w:r>
      <w:r>
        <w:rPr>
          <w:sz w:val="20"/>
          <w:u w:val="single"/>
        </w:rPr>
        <w:t>Warrant Register</w:t>
      </w:r>
      <w:r>
        <w:rPr>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720" w:right="0" w:firstLine="720"/>
        <w:jc w:val="both"/>
        <w:rPr/>
      </w:pPr>
      <w:r>
        <w:rPr/>
        <w:t> </w:t>
      </w:r>
    </w:p>
    <w:p>
      <w:pPr>
        <w:pStyle w:val="TextBody"/>
        <w:bidi w:val="0"/>
        <w:spacing w:before="0" w:after="0"/>
        <w:ind w:left="0" w:right="0" w:firstLine="720"/>
        <w:jc w:val="both"/>
        <w:rPr>
          <w:sz w:val="20"/>
        </w:rPr>
      </w:pPr>
      <w:r>
        <w:rPr>
          <w:sz w:val="20"/>
          <w:u w:val="single"/>
        </w:rPr>
        <w:t>Section 5</w:t>
      </w:r>
      <w:r>
        <w:rPr>
          <w:sz w:val="20"/>
        </w:rPr>
        <w:t>.</w:t>
        <w:tab/>
      </w:r>
      <w:r>
        <w:rPr>
          <w:sz w:val="20"/>
          <w:u w:val="single"/>
        </w:rPr>
        <w:t>Miscellaneous</w:t>
      </w:r>
      <w:r>
        <w:rPr>
          <w:sz w:val="20"/>
        </w:rPr>
        <w:t>.</w:t>
      </w:r>
    </w:p>
    <w:p>
      <w:pPr>
        <w:pStyle w:val="TextBody"/>
        <w:bidi w:val="0"/>
        <w:spacing w:before="0" w:after="0"/>
        <w:ind w:left="0" w:right="0" w:firstLine="720"/>
        <w:jc w:val="both"/>
        <w:rPr/>
      </w:pPr>
      <w:r>
        <w:rPr/>
        <w:t> </w:t>
      </w:r>
    </w:p>
    <w:p>
      <w:pPr>
        <w:pStyle w:val="TextBody"/>
        <w:bidi w:val="0"/>
        <w:spacing w:before="0" w:after="0"/>
        <w:ind w:left="720" w:right="0" w:firstLine="720"/>
        <w:jc w:val="both"/>
        <w:rPr>
          <w:sz w:val="20"/>
        </w:rPr>
      </w:pPr>
      <w:r>
        <w:rPr>
          <w:sz w:val="20"/>
        </w:rPr>
        <w:t xml:space="preserve">a)                  </w:t>
      </w:r>
      <w:r>
        <w:rPr>
          <w:sz w:val="20"/>
          <w:u w:val="single"/>
        </w:rPr>
        <w:t>No Rights as Stockholder Until Exercise; No Settlement in Cash</w:t>
      </w:r>
      <w:r>
        <w:rPr>
          <w:sz w:val="20"/>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b)                  </w:t>
      </w:r>
      <w:r>
        <w:rPr>
          <w:sz w:val="20"/>
          <w:u w:val="single"/>
        </w:rPr>
        <w:t>Loss, Theft, Destruction or Mutilation of Warrant</w:t>
      </w:r>
      <w:r>
        <w:rPr>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c)                  </w:t>
      </w:r>
      <w:r>
        <w:rPr>
          <w:sz w:val="20"/>
          <w:u w:val="single"/>
        </w:rPr>
        <w:t>Saturdays, Sundays, Holidays, etc</w:t>
      </w:r>
      <w:r>
        <w:rPr>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d)                  </w:t>
      </w:r>
      <w:r>
        <w:rPr>
          <w:sz w:val="20"/>
          <w:u w:val="single"/>
        </w:rPr>
        <w:t>Authorized Shares</w:t>
      </w:r>
      <w:r>
        <w:rPr>
          <w:sz w:val="20"/>
        </w:rPr>
        <w:t>.</w:t>
      </w:r>
    </w:p>
    <w:p>
      <w:pPr>
        <w:pStyle w:val="TextBody"/>
        <w:bidi w:val="0"/>
        <w:spacing w:before="0" w:after="0"/>
        <w:ind w:left="720" w:right="0" w:firstLine="720"/>
        <w:jc w:val="both"/>
        <w:rPr/>
      </w:pPr>
      <w:r>
        <w:rPr/>
        <w:t> </w:t>
      </w:r>
    </w:p>
    <w:p>
      <w:pPr>
        <w:pStyle w:val="TextBody"/>
        <w:bidi w:val="0"/>
        <w:spacing w:before="0" w:after="0"/>
        <w:ind w:left="1440" w:right="0" w:firstLine="1440"/>
        <w:jc w:val="both"/>
        <w:rPr>
          <w:sz w:val="20"/>
        </w:rPr>
      </w:pPr>
      <w:r>
        <w:rPr>
          <w:sz w:val="20"/>
        </w:rPr>
        <w:t>The Company covenants that, during the period the Warrant is outstanding, it will reserve from its authorized and unissued Ordinary Shares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Ordinary Shares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1440" w:right="0" w:firstLine="1440"/>
        <w:jc w:val="both"/>
        <w:rPr/>
      </w:pPr>
      <w:r>
        <w:rPr/>
        <w:t> </w:t>
      </w:r>
    </w:p>
    <w:p>
      <w:pPr>
        <w:pStyle w:val="TextBody"/>
        <w:bidi w:val="0"/>
        <w:spacing w:before="0" w:after="0"/>
        <w:ind w:left="1440" w:right="0" w:firstLine="720"/>
        <w:jc w:val="both"/>
        <w:rPr>
          <w:sz w:val="20"/>
        </w:rPr>
      </w:pPr>
      <w:r>
        <w:rPr>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144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sz w:val="20"/>
        </w:rPr>
      </w:pPr>
      <w:r>
        <w:rPr>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1440" w:right="0" w:firstLine="720"/>
        <w:jc w:val="both"/>
        <w:rPr/>
      </w:pPr>
      <w:r>
        <w:rPr/>
        <w:t> </w:t>
      </w:r>
    </w:p>
    <w:p>
      <w:pPr>
        <w:pStyle w:val="TextBody"/>
        <w:bidi w:val="0"/>
        <w:spacing w:before="0" w:after="0"/>
        <w:ind w:left="720" w:right="0" w:firstLine="720"/>
        <w:jc w:val="both"/>
        <w:rPr>
          <w:sz w:val="20"/>
        </w:rPr>
      </w:pPr>
      <w:r>
        <w:rPr>
          <w:sz w:val="20"/>
        </w:rPr>
        <w:t xml:space="preserve">e)                  </w:t>
      </w:r>
      <w:r>
        <w:rPr>
          <w:sz w:val="20"/>
          <w:u w:val="single"/>
        </w:rPr>
        <w:t>Jurisdiction</w:t>
      </w:r>
      <w:r>
        <w:rPr>
          <w:sz w:val="20"/>
        </w:rPr>
        <w:t>. All questions concerning the construction, validity, enforcement and interpretation of this Warrant shall be determined in accordance with the provisions of the Purchase Agreement.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f)                   </w:t>
      </w:r>
      <w:r>
        <w:rPr>
          <w:sz w:val="20"/>
          <w:u w:val="single"/>
        </w:rPr>
        <w:t>Restrictions</w:t>
      </w:r>
      <w:r>
        <w:rPr>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g)                  </w:t>
      </w:r>
      <w:r>
        <w:rPr>
          <w:sz w:val="20"/>
          <w:u w:val="single"/>
        </w:rPr>
        <w:t>Nonwaiver and Expenses</w:t>
      </w:r>
      <w:r>
        <w:rPr>
          <w:sz w:val="20"/>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h)                  </w:t>
      </w:r>
      <w:r>
        <w:rPr>
          <w:sz w:val="20"/>
          <w:u w:val="single"/>
        </w:rPr>
        <w:t>Notices</w:t>
      </w:r>
      <w:r>
        <w:rPr>
          <w:sz w:val="20"/>
        </w:rPr>
        <w:t>. Any notice, request or other document required or permitted to be given or delivered to the Holder by the Company shall be delivered to the address of the Holder in the Warrant Register.</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i)                   </w:t>
      </w:r>
      <w:r>
        <w:rPr>
          <w:sz w:val="20"/>
          <w:u w:val="single"/>
        </w:rPr>
        <w:t>Limitation of Liability</w:t>
      </w:r>
      <w:r>
        <w:rPr>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Ordinary Shares or as a stockholder of the Company, whether such liability is asserted by the Company or by creditors of the Company.</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j)                   </w:t>
      </w:r>
      <w:r>
        <w:rPr>
          <w:sz w:val="20"/>
          <w:u w:val="single"/>
        </w:rPr>
        <w:t>Remedies</w:t>
      </w:r>
      <w:r>
        <w:rPr>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k)                  </w:t>
      </w:r>
      <w:r>
        <w:rPr>
          <w:sz w:val="20"/>
          <w:u w:val="single"/>
        </w:rPr>
        <w:t>Successors and Assigns</w:t>
      </w:r>
      <w:r>
        <w:rPr>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l)                   </w:t>
      </w:r>
      <w:r>
        <w:rPr>
          <w:sz w:val="20"/>
          <w:u w:val="single"/>
        </w:rPr>
        <w:t>Amendment</w:t>
      </w:r>
      <w:r>
        <w:rPr>
          <w:sz w:val="20"/>
        </w:rPr>
        <w:t>. Other than Section 2(e) above and this Section 5(l), which may not be amended, modified or waived, this Warrant may be modified or amended or the provisions hereof waived with the written consent of the Company and the Holder.</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m)               </w:t>
      </w:r>
      <w:r>
        <w:rPr>
          <w:sz w:val="20"/>
          <w:u w:val="single"/>
        </w:rPr>
        <w:t>Severability</w:t>
      </w:r>
      <w:r>
        <w:rPr>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n)                  </w:t>
      </w:r>
      <w:r>
        <w:rPr>
          <w:sz w:val="20"/>
          <w:u w:val="single"/>
        </w:rPr>
        <w:t>Headings</w:t>
      </w:r>
      <w:r>
        <w:rPr>
          <w:sz w:val="20"/>
        </w:rPr>
        <w:t>. The headings used in this Warrant are for the convenience of reference only and shall not, for any purpose, be deemed a part of this Warrant.</w:t>
      </w:r>
    </w:p>
    <w:p>
      <w:pPr>
        <w:pStyle w:val="TextBody"/>
        <w:bidi w:val="0"/>
        <w:spacing w:before="0" w:after="0"/>
        <w:ind w:left="720" w:right="0" w:firstLine="72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sz w:val="20"/>
        </w:rPr>
      </w:pPr>
      <w:r>
        <w:rPr>
          <w:sz w:val="20"/>
        </w:rPr>
        <w:t>********************</w:t>
      </w:r>
    </w:p>
    <w:p>
      <w:pPr>
        <w:pStyle w:val="TextBody"/>
        <w:bidi w:val="0"/>
        <w:spacing w:before="0" w:after="0"/>
        <w:ind w:left="0" w:right="0" w:hanging="0"/>
        <w:jc w:val="center"/>
        <w:rPr/>
      </w:pPr>
      <w:r>
        <w:rPr/>
        <w:t> </w:t>
      </w:r>
    </w:p>
    <w:p>
      <w:pPr>
        <w:pStyle w:val="TextBody"/>
        <w:bidi w:val="0"/>
        <w:spacing w:before="0" w:after="0"/>
        <w:ind w:left="0" w:right="0" w:hanging="0"/>
        <w:jc w:val="center"/>
        <w:rPr>
          <w:i/>
          <w:sz w:val="20"/>
        </w:rPr>
      </w:pPr>
      <w:r>
        <w:rPr>
          <w:i/>
          <w:sz w:val="20"/>
        </w:rPr>
        <w:t>(Signature Page Follows)</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TextBody"/>
        <w:bidi w:val="0"/>
        <w:spacing w:before="0" w:after="0"/>
        <w:ind w:left="0" w:right="0" w:hanging="0"/>
        <w:jc w:val="both"/>
        <w:rPr/>
      </w:pPr>
      <w:r>
        <w:rPr/>
        <w:t> </w:t>
      </w:r>
    </w:p>
    <w:p>
      <w:pPr>
        <w:pStyle w:val="TextBody"/>
        <w:bidi w:val="0"/>
        <w:spacing w:before="0" w:after="0"/>
        <w:ind w:left="0" w:right="0" w:firstLine="1440"/>
        <w:jc w:val="both"/>
        <w:rPr>
          <w:sz w:val="20"/>
        </w:rPr>
      </w:pPr>
      <w:r>
        <w:rPr>
          <w:sz w:val="20"/>
        </w:rPr>
        <w:t>IN WITNESS WHEREOF, the Company has caused this Warrant to be executed by its officer thereunto duly authorized as of the date first above indicated.</w:t>
      </w:r>
    </w:p>
    <w:p>
      <w:pPr>
        <w:pStyle w:val="TextBody"/>
        <w:bidi w:val="0"/>
        <w:spacing w:before="0" w:after="0"/>
        <w:ind w:left="0" w:right="0" w:firstLine="144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3600"/>
        <w:jc w:val="both"/>
        <w:rPr/>
      </w:pPr>
      <w:r>
        <w:rPr/>
        <w:t> </w:t>
      </w:r>
    </w:p>
    <w:tbl>
      <w:tblPr>
        <w:tblW w:w="4820" w:type="dxa"/>
        <w:jc w:val="left"/>
        <w:tblInd w:w="0" w:type="dxa"/>
        <w:tblLayout w:type="fixed"/>
        <w:tblCellMar>
          <w:top w:w="0" w:type="dxa"/>
          <w:left w:w="0" w:type="dxa"/>
          <w:bottom w:w="0" w:type="dxa"/>
          <w:right w:w="0" w:type="dxa"/>
        </w:tblCellMar>
      </w:tblPr>
      <w:tblGrid>
        <w:gridCol w:w="75"/>
        <w:gridCol w:w="4745"/>
      </w:tblGrid>
      <w:tr>
        <w:trPr/>
        <w:tc>
          <w:tcPr>
            <w:tcW w:w="7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0"/>
              <w:ind w:left="0" w:right="0" w:hanging="0"/>
              <w:jc w:val="left"/>
              <w:rPr>
                <w:b/>
                <w:caps/>
                <w:sz w:val="20"/>
              </w:rPr>
            </w:pPr>
            <w:r>
              <w:rPr>
                <w:b/>
                <w:caps/>
                <w:sz w:val="20"/>
              </w:rPr>
              <w:t>alphaton capital corp</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0"/>
              <w:ind w:left="0" w:right="0" w:hanging="0"/>
              <w:jc w:val="left"/>
              <w:rPr>
                <w:sz w:val="20"/>
              </w:rPr>
            </w:pPr>
            <w:r>
              <w:rPr>
                <w:sz w:val="20"/>
              </w:rPr>
              <w:t>By:__________________________________________</w:t>
            </w:r>
          </w:p>
          <w:p>
            <w:pPr>
              <w:pStyle w:val="TableContents"/>
              <w:bidi w:val="0"/>
              <w:spacing w:before="0" w:after="0"/>
              <w:ind w:left="0" w:right="0" w:firstLine="360"/>
              <w:jc w:val="left"/>
              <w:rPr>
                <w:sz w:val="20"/>
              </w:rPr>
            </w:pPr>
            <w:r>
              <w:rPr>
                <w:sz w:val="20"/>
              </w:rPr>
              <w:t>Name:</w:t>
            </w:r>
          </w:p>
          <w:p>
            <w:pPr>
              <w:pStyle w:val="TableContents"/>
              <w:bidi w:val="0"/>
              <w:spacing w:before="0" w:after="0"/>
              <w:ind w:left="0" w:right="0" w:firstLine="360"/>
              <w:jc w:val="left"/>
              <w:rPr>
                <w:sz w:val="20"/>
              </w:rPr>
            </w:pPr>
            <w:r>
              <w:rPr>
                <w:sz w:val="20"/>
              </w:rPr>
              <w:t>Title:</w:t>
            </w:r>
          </w:p>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t> </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NOTICE OF EXERCISE</w:t>
      </w:r>
    </w:p>
    <w:p>
      <w:pPr>
        <w:pStyle w:val="TextBody"/>
        <w:bidi w:val="0"/>
        <w:spacing w:before="0" w:after="0"/>
        <w:ind w:left="0" w:right="0" w:hanging="0"/>
        <w:jc w:val="both"/>
        <w:rPr/>
      </w:pPr>
      <w:r>
        <w:rPr/>
        <w:t> </w:t>
      </w:r>
    </w:p>
    <w:p>
      <w:pPr>
        <w:pStyle w:val="TextBody"/>
        <w:bidi w:val="0"/>
        <w:spacing w:before="0" w:after="0"/>
        <w:ind w:left="0" w:right="0" w:hanging="0"/>
        <w:jc w:val="both"/>
        <w:rPr>
          <w:caps/>
          <w:sz w:val="20"/>
        </w:rPr>
      </w:pPr>
      <w:r>
        <w:rPr>
          <w:caps/>
          <w:sz w:val="20"/>
        </w:rPr>
        <w:t>To:</w:t>
        <w:tab/>
      </w:r>
      <w:r>
        <w:rPr>
          <w:b/>
          <w:caps/>
          <w:sz w:val="20"/>
        </w:rPr>
        <w:t>alphaton capital corp</w:t>
      </w:r>
    </w:p>
    <w:p>
      <w:pPr>
        <w:pStyle w:val="TextBody"/>
        <w:bidi w:val="0"/>
        <w:spacing w:before="0" w:after="0"/>
        <w:ind w:left="0" w:right="0" w:hanging="0"/>
        <w:jc w:val="both"/>
        <w:rPr/>
      </w:pPr>
      <w:r>
        <w:rPr/>
        <w:t> </w:t>
      </w:r>
    </w:p>
    <w:p>
      <w:pPr>
        <w:pStyle w:val="TextBody"/>
        <w:bidi w:val="0"/>
        <w:spacing w:before="0" w:after="0"/>
        <w:ind w:left="0" w:right="0" w:firstLine="1440"/>
        <w:jc w:val="both"/>
        <w:rPr>
          <w:sz w:val="20"/>
        </w:rPr>
      </w:pPr>
      <w:r>
        <w:rPr>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(2)   Payment shall take the form of (check applicable box):</w:t>
      </w:r>
    </w:p>
    <w:p>
      <w:pPr>
        <w:pStyle w:val="TextBody"/>
        <w:bidi w:val="0"/>
        <w:spacing w:before="0" w:after="0"/>
        <w:ind w:left="0" w:right="0" w:firstLine="1440"/>
        <w:jc w:val="both"/>
        <w:rPr/>
      </w:pPr>
      <w:r>
        <w:rPr/>
        <w:t> </w:t>
      </w:r>
    </w:p>
    <w:p>
      <w:pPr>
        <w:pStyle w:val="TextBody"/>
        <w:bidi w:val="0"/>
        <w:spacing w:before="0" w:after="0"/>
        <w:ind w:left="2160" w:right="0" w:hanging="0"/>
        <w:jc w:val="both"/>
        <w:rPr>
          <w:sz w:val="20"/>
        </w:rPr>
      </w:pPr>
      <w:r>
        <w:rPr>
          <w:sz w:val="20"/>
        </w:rPr>
        <w:t>[ ] in lawful money of the United States; or</w:t>
      </w:r>
    </w:p>
    <w:p>
      <w:pPr>
        <w:pStyle w:val="TextBody"/>
        <w:bidi w:val="0"/>
        <w:spacing w:before="0" w:after="0"/>
        <w:ind w:left="2160" w:right="0" w:hanging="0"/>
        <w:jc w:val="both"/>
        <w:rPr/>
      </w:pPr>
      <w:r>
        <w:rPr/>
        <w:t> </w:t>
      </w:r>
    </w:p>
    <w:p>
      <w:pPr>
        <w:pStyle w:val="TextBody"/>
        <w:bidi w:val="0"/>
        <w:spacing w:before="0" w:after="0"/>
        <w:ind w:left="2160" w:right="0" w:hanging="0"/>
        <w:jc w:val="both"/>
        <w:rPr>
          <w:sz w:val="20"/>
        </w:rPr>
      </w:pPr>
      <w:r>
        <w:rPr>
          <w:sz w:val="20"/>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2160" w:right="0" w:hanging="0"/>
        <w:jc w:val="both"/>
        <w:rPr/>
      </w:pPr>
      <w:r>
        <w:rPr/>
        <w:t> </w:t>
      </w:r>
    </w:p>
    <w:p>
      <w:pPr>
        <w:pStyle w:val="TextBody"/>
        <w:bidi w:val="0"/>
        <w:spacing w:before="0" w:after="0"/>
        <w:ind w:left="0" w:right="0" w:firstLine="1440"/>
        <w:jc w:val="both"/>
        <w:rPr>
          <w:sz w:val="20"/>
        </w:rPr>
      </w:pPr>
      <w:r>
        <w:rPr>
          <w:sz w:val="20"/>
        </w:rPr>
        <w:t>(3)   Please issue said Warrant Shares in the name of the undersigned or in such other name as is specified below:</w:t>
      </w:r>
    </w:p>
    <w:p>
      <w:pPr>
        <w:pStyle w:val="TextBody"/>
        <w:bidi w:val="0"/>
        <w:spacing w:before="0" w:after="0"/>
        <w:ind w:left="0" w:right="0" w:firstLine="1440"/>
        <w:jc w:val="both"/>
        <w:rPr/>
      </w:pPr>
      <w:r>
        <w:rPr/>
        <w:t> </w:t>
      </w:r>
    </w:p>
    <w:p>
      <w:pPr>
        <w:pStyle w:val="TextBody"/>
        <w:bidi w:val="0"/>
        <w:spacing w:before="0" w:after="0"/>
        <w:ind w:left="0" w:right="0" w:firstLine="2160"/>
        <w:jc w:val="both"/>
        <w:rPr>
          <w:sz w:val="20"/>
        </w:rPr>
      </w:pPr>
      <w:r>
        <w:rPr>
          <w:sz w:val="20"/>
        </w:rPr>
        <w:t>_______________________________</w:t>
      </w:r>
    </w:p>
    <w:p>
      <w:pPr>
        <w:pStyle w:val="TextBody"/>
        <w:bidi w:val="0"/>
        <w:spacing w:before="0" w:after="0"/>
        <w:ind w:left="0" w:right="0" w:firstLine="216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Warrant Shares shall be delivered to the following DWAC Account Number:</w:t>
      </w:r>
    </w:p>
    <w:p>
      <w:pPr>
        <w:pStyle w:val="TextBody"/>
        <w:bidi w:val="0"/>
        <w:spacing w:before="0" w:after="0"/>
        <w:ind w:left="0" w:right="0" w:hanging="0"/>
        <w:jc w:val="both"/>
        <w:rPr/>
      </w:pPr>
      <w:r>
        <w:rPr/>
        <w:t> </w:t>
      </w:r>
    </w:p>
    <w:p>
      <w:pPr>
        <w:pStyle w:val="TextBody"/>
        <w:bidi w:val="0"/>
        <w:spacing w:before="0" w:after="0"/>
        <w:ind w:left="0" w:right="0" w:firstLine="2160"/>
        <w:jc w:val="both"/>
        <w:rPr>
          <w:sz w:val="20"/>
        </w:rPr>
      </w:pPr>
      <w:r>
        <w:rPr>
          <w:sz w:val="20"/>
        </w:rPr>
        <w:t>_______________________________</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_______________________________</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_______________________________</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caps/>
          <w:sz w:val="20"/>
        </w:rPr>
      </w:pPr>
      <w:r>
        <w:rPr>
          <w:caps/>
          <w:sz w:val="20"/>
        </w:rPr>
        <w:t>[SIGNATURE OF HOLDER]</w:t>
      </w:r>
    </w:p>
    <w:p>
      <w:pPr>
        <w:pStyle w:val="TextBody"/>
        <w:bidi w:val="0"/>
        <w:spacing w:before="0" w:after="0"/>
        <w:ind w:left="0" w:right="0" w:firstLine="720"/>
        <w:jc w:val="both"/>
        <w:rPr/>
      </w:pPr>
      <w:r>
        <w:rPr/>
        <w:t> </w:t>
      </w:r>
    </w:p>
    <w:p>
      <w:pPr>
        <w:pStyle w:val="TextBody"/>
        <w:bidi w:val="0"/>
        <w:spacing w:before="0" w:after="0"/>
        <w:ind w:left="0" w:right="0" w:hanging="0"/>
        <w:jc w:val="both"/>
        <w:rPr>
          <w:sz w:val="20"/>
        </w:rPr>
      </w:pPr>
      <w:r>
        <w:rPr>
          <w:sz w:val="20"/>
        </w:rPr>
        <w:t>Name of Investing Entity: ________________________________________________________________________</w:t>
      </w:r>
    </w:p>
    <w:p>
      <w:pPr>
        <w:pStyle w:val="TextBody"/>
        <w:bidi w:val="0"/>
        <w:spacing w:before="0" w:after="0"/>
        <w:ind w:left="0" w:right="0" w:hanging="0"/>
        <w:jc w:val="both"/>
        <w:rPr>
          <w:sz w:val="20"/>
        </w:rPr>
      </w:pPr>
      <w:r>
        <w:rPr>
          <w:i/>
          <w:sz w:val="20"/>
        </w:rPr>
        <w:t>Signature of Authorized Signatory of Investing Entity</w:t>
      </w:r>
      <w:r>
        <w:rPr>
          <w:sz w:val="20"/>
        </w:rPr>
        <w:t>: _________________________________________________</w:t>
      </w:r>
    </w:p>
    <w:p>
      <w:pPr>
        <w:pStyle w:val="TextBody"/>
        <w:bidi w:val="0"/>
        <w:spacing w:before="0" w:after="0"/>
        <w:ind w:left="0" w:right="0" w:hanging="0"/>
        <w:jc w:val="both"/>
        <w:rPr>
          <w:sz w:val="20"/>
        </w:rPr>
      </w:pPr>
      <w:r>
        <w:rPr>
          <w:sz w:val="20"/>
        </w:rPr>
        <w:t>Name of Authorized Signatory: ___________________________________________________________________</w:t>
      </w:r>
    </w:p>
    <w:p>
      <w:pPr>
        <w:pStyle w:val="TextBody"/>
        <w:bidi w:val="0"/>
        <w:spacing w:before="0" w:after="0"/>
        <w:ind w:left="0" w:right="0" w:hanging="0"/>
        <w:jc w:val="both"/>
        <w:rPr>
          <w:sz w:val="20"/>
        </w:rPr>
      </w:pPr>
      <w:r>
        <w:rPr>
          <w:sz w:val="20"/>
        </w:rPr>
        <w:t>Title of Authorized Signatory: ____________________________________________________________________</w:t>
      </w:r>
    </w:p>
    <w:p>
      <w:pPr>
        <w:pStyle w:val="TextBody"/>
        <w:bidi w:val="0"/>
        <w:spacing w:before="0" w:after="0"/>
        <w:ind w:left="0" w:right="0" w:hanging="0"/>
        <w:jc w:val="both"/>
        <w:rPr>
          <w:sz w:val="20"/>
        </w:rPr>
      </w:pPr>
      <w:r>
        <w:rPr>
          <w:sz w:val="20"/>
        </w:rPr>
        <w:t>Date: ________________________________________________________________________________________</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1440"/>
        <w:jc w:val="both"/>
        <w:rPr/>
      </w:pPr>
      <w:r>
        <w:rPr/>
        <w:t> </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b/>
          <w:sz w:val="20"/>
        </w:rPr>
      </w:pPr>
      <w:r>
        <w:rPr>
          <w:b/>
          <w:sz w:val="20"/>
        </w:rPr>
        <w:t>EXHIBIT B</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b w:val="false"/>
          <w:sz w:val="20"/>
        </w:rPr>
      </w:pPr>
      <w:r>
        <w:rPr>
          <w:b w:val="false"/>
          <w:sz w:val="20"/>
        </w:rPr>
        <w:t>ASSIGNMENT FORM</w:t>
      </w:r>
    </w:p>
    <w:p>
      <w:pPr>
        <w:pStyle w:val="TextBody"/>
        <w:bidi w:val="0"/>
        <w:spacing w:before="0" w:after="0"/>
        <w:ind w:left="0" w:right="0" w:firstLine="210"/>
        <w:jc w:val="both"/>
        <w:rPr>
          <w:i/>
          <w:sz w:val="20"/>
        </w:rPr>
      </w:pPr>
      <w:r>
        <w:rPr>
          <w:i/>
          <w:sz w:val="20"/>
        </w:rPr>
        <w:t>(To assign the foregoing Warrant, execute this form and supply required information. Do not use this form to purchase shares.)</w:t>
      </w:r>
    </w:p>
    <w:p>
      <w:pPr>
        <w:pStyle w:val="TextBody"/>
        <w:bidi w:val="0"/>
        <w:spacing w:before="0" w:after="0"/>
        <w:ind w:left="0" w:right="0" w:firstLine="210"/>
        <w:jc w:val="both"/>
        <w:rPr/>
      </w:pPr>
      <w:r>
        <w:rPr/>
        <w:t> </w:t>
      </w:r>
    </w:p>
    <w:p>
      <w:pPr>
        <w:pStyle w:val="TextBody"/>
        <w:bidi w:val="0"/>
        <w:spacing w:before="0" w:after="0"/>
        <w:ind w:left="0" w:right="0" w:firstLine="210"/>
        <w:jc w:val="both"/>
        <w:rPr>
          <w:sz w:val="20"/>
        </w:rPr>
      </w:pPr>
      <w:r>
        <w:rPr>
          <w:sz w:val="20"/>
        </w:rPr>
        <w:t>FOR VALUE RECEIVED, the foregoing Warrant and all rights evidenced thereby are hereby assigned to</w:t>
      </w:r>
    </w:p>
    <w:p>
      <w:pPr>
        <w:pStyle w:val="TextBody"/>
        <w:bidi w:val="0"/>
        <w:spacing w:before="0" w:after="0"/>
        <w:ind w:left="0" w:right="0" w:firstLine="210"/>
        <w:jc w:val="both"/>
        <w:rPr/>
      </w:pPr>
      <w:r>
        <w:rPr/>
        <w:t> </w:t>
      </w:r>
    </w:p>
    <w:tbl>
      <w:tblPr>
        <w:tblW w:w="7195" w:type="dxa"/>
        <w:jc w:val="left"/>
        <w:tblInd w:w="0" w:type="dxa"/>
        <w:tblLayout w:type="fixed"/>
        <w:tblCellMar>
          <w:top w:w="0" w:type="dxa"/>
          <w:left w:w="0" w:type="dxa"/>
          <w:bottom w:w="0" w:type="dxa"/>
          <w:right w:w="0" w:type="dxa"/>
        </w:tblCellMar>
      </w:tblPr>
      <w:tblGrid>
        <w:gridCol w:w="3170"/>
        <w:gridCol w:w="4025"/>
      </w:tblGrid>
      <w:tr>
        <w:trPr/>
        <w:tc>
          <w:tcPr>
            <w:tcW w:w="3170" w:type="dxa"/>
            <w:tcBorders/>
            <w:vAlign w:val="center"/>
          </w:tcPr>
          <w:p>
            <w:pPr>
              <w:pStyle w:val="TableContents"/>
              <w:bidi w:val="0"/>
              <w:spacing w:before="0" w:after="283"/>
              <w:jc w:val="both"/>
              <w:rPr>
                <w:sz w:val="20"/>
              </w:rPr>
            </w:pPr>
            <w:r>
              <w:rPr>
                <w:sz w:val="20"/>
              </w:rPr>
              <w:t>Name:</w:t>
            </w:r>
          </w:p>
        </w:tc>
        <w:tc>
          <w:tcPr>
            <w:tcW w:w="4025" w:type="dxa"/>
            <w:tcBorders/>
            <w:vAlign w:val="center"/>
          </w:tcPr>
          <w:p>
            <w:pPr>
              <w:pStyle w:val="TableContents"/>
              <w:bidi w:val="0"/>
              <w:spacing w:before="0" w:after="283"/>
              <w:jc w:val="both"/>
              <w:rPr>
                <w:sz w:val="20"/>
              </w:rPr>
            </w:pPr>
            <w:r>
              <w:rPr>
                <w:sz w:val="20"/>
              </w:rPr>
              <w:t>______________________________________</w:t>
            </w:r>
          </w:p>
        </w:tc>
      </w:tr>
      <w:tr>
        <w:trPr/>
        <w:tc>
          <w:tcPr>
            <w:tcW w:w="3170" w:type="dxa"/>
            <w:tcBorders/>
            <w:vAlign w:val="center"/>
          </w:tcPr>
          <w:p>
            <w:pPr>
              <w:pStyle w:val="TableContents"/>
              <w:bidi w:val="0"/>
              <w:spacing w:before="0" w:after="283"/>
              <w:jc w:val="both"/>
              <w:rPr/>
            </w:pPr>
            <w:r>
              <w:rPr/>
              <w:t> </w:t>
            </w:r>
          </w:p>
        </w:tc>
        <w:tc>
          <w:tcPr>
            <w:tcW w:w="4025" w:type="dxa"/>
            <w:tcBorders/>
            <w:vAlign w:val="center"/>
          </w:tcPr>
          <w:p>
            <w:pPr>
              <w:pStyle w:val="TableContents"/>
              <w:bidi w:val="0"/>
              <w:spacing w:before="0" w:after="283"/>
              <w:jc w:val="both"/>
              <w:rPr>
                <w:sz w:val="20"/>
              </w:rPr>
            </w:pPr>
            <w:r>
              <w:rPr>
                <w:sz w:val="20"/>
              </w:rPr>
              <w:t>(Please Print)</w:t>
            </w:r>
          </w:p>
        </w:tc>
      </w:tr>
      <w:tr>
        <w:trPr/>
        <w:tc>
          <w:tcPr>
            <w:tcW w:w="3170" w:type="dxa"/>
            <w:tcBorders/>
            <w:vAlign w:val="center"/>
          </w:tcPr>
          <w:p>
            <w:pPr>
              <w:pStyle w:val="TableContents"/>
              <w:bidi w:val="0"/>
              <w:spacing w:before="0" w:after="283"/>
              <w:jc w:val="both"/>
              <w:rPr>
                <w:sz w:val="20"/>
              </w:rPr>
            </w:pPr>
            <w:r>
              <w:rPr>
                <w:sz w:val="20"/>
              </w:rPr>
              <w:t>Address:</w:t>
            </w:r>
          </w:p>
        </w:tc>
        <w:tc>
          <w:tcPr>
            <w:tcW w:w="4025" w:type="dxa"/>
            <w:tcBorders/>
            <w:vAlign w:val="center"/>
          </w:tcPr>
          <w:p>
            <w:pPr>
              <w:pStyle w:val="TableContents"/>
              <w:bidi w:val="0"/>
              <w:spacing w:before="0" w:after="283"/>
              <w:jc w:val="both"/>
              <w:rPr>
                <w:sz w:val="20"/>
              </w:rPr>
            </w:pPr>
            <w:r>
              <w:rPr>
                <w:sz w:val="20"/>
              </w:rPr>
              <w:t>______________________________________</w:t>
            </w:r>
          </w:p>
        </w:tc>
      </w:tr>
      <w:tr>
        <w:trPr/>
        <w:tc>
          <w:tcPr>
            <w:tcW w:w="3170" w:type="dxa"/>
            <w:tcBorders/>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p>
            <w:pPr>
              <w:pStyle w:val="TableContents"/>
              <w:bidi w:val="0"/>
              <w:spacing w:before="0" w:after="0"/>
              <w:ind w:left="0" w:right="0" w:hanging="0"/>
              <w:jc w:val="both"/>
              <w:rPr>
                <w:sz w:val="20"/>
              </w:rPr>
            </w:pPr>
            <w:r>
              <w:rPr>
                <w:sz w:val="20"/>
              </w:rPr>
              <w:t>Phone Number:</w:t>
            </w:r>
          </w:p>
          <w:p>
            <w:pPr>
              <w:pStyle w:val="TableContents"/>
              <w:bidi w:val="0"/>
              <w:spacing w:before="0" w:after="0"/>
              <w:ind w:left="0" w:right="0" w:hanging="0"/>
              <w:jc w:val="both"/>
              <w:rPr/>
            </w:pPr>
            <w:r>
              <w:rPr/>
              <w:t> </w:t>
            </w:r>
          </w:p>
          <w:p>
            <w:pPr>
              <w:pStyle w:val="TableContents"/>
              <w:bidi w:val="0"/>
              <w:spacing w:before="0" w:after="0"/>
              <w:ind w:left="0" w:right="0" w:hanging="0"/>
              <w:jc w:val="both"/>
              <w:rPr>
                <w:sz w:val="20"/>
              </w:rPr>
            </w:pPr>
            <w:r>
              <w:rPr>
                <w:sz w:val="20"/>
              </w:rPr>
              <w:t>Email Address:</w:t>
            </w:r>
          </w:p>
          <w:p>
            <w:pPr>
              <w:pStyle w:val="TableContents"/>
              <w:bidi w:val="0"/>
              <w:spacing w:before="0" w:after="0"/>
              <w:ind w:left="0" w:right="0" w:hanging="0"/>
              <w:jc w:val="both"/>
              <w:rPr/>
            </w:pPr>
            <w:r>
              <w:rPr/>
              <w:t> </w:t>
            </w:r>
          </w:p>
        </w:tc>
        <w:tc>
          <w:tcPr>
            <w:tcW w:w="4025" w:type="dxa"/>
            <w:tcBorders/>
            <w:vAlign w:val="center"/>
          </w:tcPr>
          <w:p>
            <w:pPr>
              <w:pStyle w:val="TableContents"/>
              <w:bidi w:val="0"/>
              <w:spacing w:before="0" w:after="0"/>
              <w:ind w:left="0" w:right="0" w:hanging="0"/>
              <w:jc w:val="both"/>
              <w:rPr>
                <w:sz w:val="20"/>
              </w:rPr>
            </w:pPr>
            <w:r>
              <w:rPr>
                <w:sz w:val="20"/>
              </w:rPr>
              <w:t>(Please Print)</w:t>
            </w:r>
          </w:p>
          <w:p>
            <w:pPr>
              <w:pStyle w:val="TableContents"/>
              <w:bidi w:val="0"/>
              <w:spacing w:before="0" w:after="0"/>
              <w:ind w:left="0" w:right="0" w:hanging="0"/>
              <w:jc w:val="both"/>
              <w:rPr/>
            </w:pPr>
            <w:r>
              <w:rPr/>
              <w:t> </w:t>
            </w:r>
          </w:p>
          <w:p>
            <w:pPr>
              <w:pStyle w:val="TableContents"/>
              <w:bidi w:val="0"/>
              <w:spacing w:before="0" w:after="0"/>
              <w:ind w:left="0" w:right="0" w:hanging="0"/>
              <w:jc w:val="both"/>
              <w:rPr>
                <w:sz w:val="20"/>
              </w:rPr>
            </w:pPr>
            <w:r>
              <w:rPr>
                <w:sz w:val="20"/>
              </w:rPr>
              <w:t>______________________________________</w:t>
            </w:r>
          </w:p>
          <w:p>
            <w:pPr>
              <w:pStyle w:val="TableContents"/>
              <w:bidi w:val="0"/>
              <w:spacing w:before="0" w:after="0"/>
              <w:ind w:left="0" w:right="0" w:hanging="0"/>
              <w:jc w:val="both"/>
              <w:rPr/>
            </w:pPr>
            <w:r>
              <w:rPr/>
              <w:t> </w:t>
            </w:r>
          </w:p>
          <w:p>
            <w:pPr>
              <w:pStyle w:val="TableContents"/>
              <w:bidi w:val="0"/>
              <w:spacing w:before="0" w:after="0"/>
              <w:ind w:left="0" w:right="0" w:hanging="0"/>
              <w:jc w:val="both"/>
              <w:rPr>
                <w:sz w:val="20"/>
              </w:rPr>
            </w:pPr>
            <w:r>
              <w:rPr>
                <w:sz w:val="20"/>
              </w:rPr>
              <w:t>______________________________________</w:t>
            </w:r>
          </w:p>
          <w:p>
            <w:pPr>
              <w:pStyle w:val="TableContents"/>
              <w:bidi w:val="0"/>
              <w:spacing w:before="0" w:after="0"/>
              <w:ind w:left="0" w:right="0" w:hanging="0"/>
              <w:jc w:val="both"/>
              <w:rPr/>
            </w:pPr>
            <w:r>
              <w:rPr/>
              <w:t> </w:t>
            </w:r>
          </w:p>
        </w:tc>
      </w:tr>
      <w:tr>
        <w:trPr/>
        <w:tc>
          <w:tcPr>
            <w:tcW w:w="3170" w:type="dxa"/>
            <w:tcBorders/>
            <w:vAlign w:val="center"/>
          </w:tcPr>
          <w:p>
            <w:pPr>
              <w:pStyle w:val="TableContents"/>
              <w:bidi w:val="0"/>
              <w:spacing w:before="0" w:after="283"/>
              <w:jc w:val="both"/>
              <w:rPr>
                <w:sz w:val="20"/>
              </w:rPr>
            </w:pPr>
            <w:r>
              <w:rPr>
                <w:sz w:val="20"/>
              </w:rPr>
              <w:t>Dated: _______________ __, ______</w:t>
            </w:r>
          </w:p>
        </w:tc>
        <w:tc>
          <w:tcPr>
            <w:tcW w:w="4025" w:type="dxa"/>
            <w:tcBorders/>
            <w:vAlign w:val="center"/>
          </w:tcPr>
          <w:p>
            <w:pPr>
              <w:pStyle w:val="TableContents"/>
              <w:bidi w:val="0"/>
              <w:spacing w:before="0" w:after="283"/>
              <w:jc w:val="both"/>
              <w:rPr/>
            </w:pPr>
            <w:r>
              <w:rPr/>
              <w:t> </w:t>
            </w:r>
          </w:p>
        </w:tc>
      </w:tr>
      <w:tr>
        <w:trPr/>
        <w:tc>
          <w:tcPr>
            <w:tcW w:w="3170" w:type="dxa"/>
            <w:tcBorders/>
            <w:vAlign w:val="center"/>
          </w:tcPr>
          <w:p>
            <w:pPr>
              <w:pStyle w:val="TableContents"/>
              <w:bidi w:val="0"/>
              <w:spacing w:before="0" w:after="283"/>
              <w:jc w:val="both"/>
              <w:rPr>
                <w:sz w:val="20"/>
              </w:rPr>
            </w:pPr>
            <w:r>
              <w:rPr>
                <w:sz w:val="20"/>
              </w:rPr>
              <w:t>Holder’s Signature:</w:t>
            </w:r>
            <w:r>
              <w:rPr>
                <w:sz w:val="20"/>
                <w:u w:val="single"/>
              </w:rPr>
              <w:tab/>
            </w:r>
          </w:p>
        </w:tc>
        <w:tc>
          <w:tcPr>
            <w:tcW w:w="4025" w:type="dxa"/>
            <w:tcBorders/>
            <w:vAlign w:val="center"/>
          </w:tcPr>
          <w:p>
            <w:pPr>
              <w:pStyle w:val="TableContents"/>
              <w:bidi w:val="0"/>
              <w:spacing w:before="0" w:after="283"/>
              <w:jc w:val="both"/>
              <w:rPr/>
            </w:pPr>
            <w:r>
              <w:rPr/>
              <w:t> </w:t>
            </w:r>
          </w:p>
        </w:tc>
      </w:tr>
      <w:tr>
        <w:trPr/>
        <w:tc>
          <w:tcPr>
            <w:tcW w:w="3170" w:type="dxa"/>
            <w:tcBorders/>
            <w:vAlign w:val="center"/>
          </w:tcPr>
          <w:p>
            <w:pPr>
              <w:pStyle w:val="TableContents"/>
              <w:bidi w:val="0"/>
              <w:spacing w:before="0" w:after="283"/>
              <w:jc w:val="both"/>
              <w:rPr>
                <w:sz w:val="20"/>
              </w:rPr>
            </w:pPr>
            <w:r>
              <w:rPr>
                <w:sz w:val="20"/>
              </w:rPr>
              <w:t>Holder’s Address:</w:t>
            </w:r>
            <w:r>
              <w:rPr>
                <w:sz w:val="20"/>
                <w:u w:val="single"/>
              </w:rPr>
              <w:tab/>
            </w:r>
          </w:p>
        </w:tc>
        <w:tc>
          <w:tcPr>
            <w:tcW w:w="4025" w:type="dxa"/>
            <w:tcBorders/>
            <w:vAlign w:val="center"/>
          </w:tcPr>
          <w:p>
            <w:pPr>
              <w:pStyle w:val="TableContents"/>
              <w:bidi w:val="0"/>
              <w:spacing w:before="0" w:after="283"/>
              <w:jc w:val="both"/>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jc w:val="right"/>
        <w:rPr>
          <w:b/>
          <w:sz w:val="20"/>
        </w:rPr>
      </w:pPr>
      <w:bookmarkStart w:id="4" w:name="a_003"/>
      <w:bookmarkEnd w:id="4"/>
      <w:r>
        <w:rPr>
          <w:b/>
          <w:sz w:val="20"/>
        </w:rPr>
        <w:t>Exhibit 5.1</w:t>
      </w:r>
    </w:p>
    <w:p>
      <w:pPr>
        <w:pStyle w:val="TextBody"/>
        <w:bidi w:val="0"/>
        <w:spacing w:before="0" w:after="283"/>
        <w:jc w:val="left"/>
        <w:rPr/>
      </w:pPr>
      <w:r>
        <w:rPr/>
        <w:t> </w:t>
      </w:r>
    </w:p>
    <w:tbl>
      <w:tblPr>
        <w:tblW w:w="4910" w:type="dxa"/>
        <w:jc w:val="left"/>
        <w:tblInd w:w="0" w:type="dxa"/>
        <w:tblLayout w:type="fixed"/>
        <w:tblCellMar>
          <w:top w:w="0" w:type="dxa"/>
          <w:left w:w="0" w:type="dxa"/>
          <w:bottom w:w="0" w:type="dxa"/>
          <w:right w:w="0" w:type="dxa"/>
        </w:tblCellMar>
      </w:tblPr>
      <w:tblGrid>
        <w:gridCol w:w="2645"/>
        <w:gridCol w:w="2265"/>
      </w:tblGrid>
      <w:tr>
        <w:trPr/>
        <w:tc>
          <w:tcPr>
            <w:tcW w:w="2645" w:type="dxa"/>
            <w:tcBorders/>
            <w:vAlign w:val="center"/>
          </w:tcPr>
          <w:p>
            <w:pPr>
              <w:pStyle w:val="TableContents"/>
              <w:bidi w:val="0"/>
              <w:jc w:val="left"/>
              <w:rPr>
                <w:color w:val="004250"/>
                <w:sz w:val="20"/>
              </w:rPr>
            </w:pPr>
            <w:r>
              <w:rPr>
                <w:color w:val="004250"/>
                <w:sz w:val="20"/>
              </w:rPr>
              <w:t>Forbes Hare LLP</w:t>
            </w:r>
          </w:p>
          <w:p>
            <w:pPr>
              <w:pStyle w:val="TableContents"/>
              <w:bidi w:val="0"/>
              <w:jc w:val="left"/>
              <w:rPr>
                <w:color w:val="004250"/>
                <w:sz w:val="20"/>
              </w:rPr>
            </w:pPr>
            <w:r>
              <w:rPr>
                <w:color w:val="004250"/>
                <w:sz w:val="20"/>
              </w:rPr>
              <w:t>5 King’s Bench Walk</w:t>
            </w:r>
          </w:p>
          <w:p>
            <w:pPr>
              <w:pStyle w:val="TableContents"/>
              <w:bidi w:val="0"/>
              <w:jc w:val="left"/>
              <w:rPr>
                <w:color w:val="004250"/>
                <w:sz w:val="20"/>
              </w:rPr>
            </w:pPr>
            <w:r>
              <w:rPr>
                <w:color w:val="004250"/>
                <w:sz w:val="20"/>
              </w:rPr>
              <w:t>Temple, London EC4Y 7DN</w:t>
            </w:r>
          </w:p>
          <w:p>
            <w:pPr>
              <w:pStyle w:val="TableContents"/>
              <w:bidi w:val="0"/>
              <w:spacing w:before="0" w:after="283"/>
              <w:jc w:val="left"/>
              <w:rPr>
                <w:color w:val="004250"/>
                <w:sz w:val="20"/>
              </w:rPr>
            </w:pPr>
            <w:r>
              <w:rPr>
                <w:color w:val="004250"/>
                <w:sz w:val="20"/>
              </w:rPr>
              <w:t>United Kingdom</w:t>
            </w:r>
          </w:p>
        </w:tc>
        <w:tc>
          <w:tcPr>
            <w:tcW w:w="226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AlphaTON Capital Corp.</w:t>
              <w:br/>
              <w:t>Clarence Thomas Building,</w:t>
              <w:br/>
              <w:t>Road Town, Tortola,</w:t>
              <w:br/>
              <w:t>British Virgin Islands</w:t>
            </w:r>
          </w:p>
        </w:tc>
        <w:tc>
          <w:tcPr>
            <w:tcW w:w="2265" w:type="dxa"/>
            <w:tcBorders/>
            <w:vAlign w:val="center"/>
          </w:tcPr>
          <w:p>
            <w:pPr>
              <w:pStyle w:val="TableContents"/>
              <w:bidi w:val="0"/>
              <w:spacing w:before="0" w:after="283"/>
              <w:jc w:val="center"/>
              <w:rPr/>
            </w:pPr>
            <w:r>
              <w:rPr/>
              <w:drawing>
                <wp:inline distT="0" distB="0" distL="0" distR="0">
                  <wp:extent cx="1428750" cy="1114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28750" cy="1114425"/>
                          </a:xfrm>
                          <a:prstGeom prst="rect">
                            <a:avLst/>
                          </a:prstGeom>
                        </pic:spPr>
                      </pic:pic>
                    </a:graphicData>
                  </a:graphic>
                </wp:inline>
              </w:drawing>
            </w:r>
          </w:p>
        </w:tc>
      </w:tr>
    </w:tbl>
    <w:p>
      <w:pPr>
        <w:pStyle w:val="TextBody"/>
        <w:bidi w:val="0"/>
        <w:spacing w:before="0" w:after="283"/>
        <w:jc w:val="left"/>
        <w:rPr/>
      </w:pPr>
      <w:r>
        <w:rPr/>
      </w:r>
    </w:p>
    <w:p>
      <w:pPr>
        <w:pStyle w:val="TextBody"/>
        <w:bidi w:val="0"/>
        <w:spacing w:before="200" w:after="200"/>
        <w:ind w:left="200" w:right="200" w:hanging="0"/>
        <w:jc w:val="left"/>
        <w:rPr>
          <w:sz w:val="20"/>
        </w:rPr>
      </w:pPr>
      <w:r>
        <w:rPr>
          <w:sz w:val="20"/>
        </w:rPr>
        <w:t>15 January 2026</w:t>
      </w:r>
    </w:p>
    <w:p>
      <w:pPr>
        <w:pStyle w:val="TextBody"/>
        <w:bidi w:val="0"/>
        <w:spacing w:before="0" w:after="120"/>
        <w:jc w:val="left"/>
        <w:rPr/>
      </w:pPr>
      <w:r>
        <w:rPr/>
        <w:t> </w:t>
      </w:r>
    </w:p>
    <w:p>
      <w:pPr>
        <w:pStyle w:val="TextBody"/>
        <w:bidi w:val="0"/>
        <w:spacing w:before="0" w:after="200"/>
        <w:jc w:val="left"/>
        <w:rPr>
          <w:sz w:val="20"/>
        </w:rPr>
      </w:pPr>
      <w:r>
        <w:rPr>
          <w:sz w:val="20"/>
        </w:rPr>
        <w:t>Dear Sirs</w:t>
      </w:r>
    </w:p>
    <w:p>
      <w:pPr>
        <w:pStyle w:val="TextBody"/>
        <w:bidi w:val="0"/>
        <w:spacing w:before="0" w:after="200"/>
        <w:jc w:val="left"/>
        <w:rPr>
          <w:b/>
          <w:sz w:val="20"/>
        </w:rPr>
      </w:pPr>
      <w:r>
        <w:rPr>
          <w:b/>
          <w:sz w:val="20"/>
        </w:rPr>
        <w:t>AlphaTON Capital Corp. (the “Company”)</w:t>
      </w:r>
    </w:p>
    <w:p>
      <w:pPr>
        <w:pStyle w:val="TextBody"/>
        <w:bidi w:val="0"/>
        <w:spacing w:before="0" w:after="200"/>
        <w:jc w:val="both"/>
        <w:rPr>
          <w:sz w:val="20"/>
        </w:rPr>
      </w:pPr>
      <w:r>
        <w:rPr>
          <w:sz w:val="20"/>
        </w:rPr>
        <w:t>We are lawyers licensed and qualified to practice law in the British Virgin Islands. We have acted as special British Virgin Islands counsel to the Company to provide this legal opinion in connection with the Company's Registration Statement on Form F-3, including all amendments or supplements thereto ("</w:t>
      </w:r>
      <w:r>
        <w:rPr>
          <w:b/>
          <w:sz w:val="20"/>
        </w:rPr>
        <w:t>Form F-3</w:t>
      </w:r>
      <w:r>
        <w:rPr>
          <w:sz w:val="20"/>
        </w:rPr>
        <w:t>"), filed with the Securities and Exchange Commission (the "</w:t>
      </w:r>
      <w:r>
        <w:rPr>
          <w:b/>
          <w:sz w:val="20"/>
        </w:rPr>
        <w:t>Commission</w:t>
      </w:r>
      <w:r>
        <w:rPr>
          <w:sz w:val="20"/>
        </w:rPr>
        <w:t>") under the United States Securities Act of 1933 (the "</w:t>
      </w:r>
      <w:r>
        <w:rPr>
          <w:b/>
          <w:sz w:val="20"/>
        </w:rPr>
        <w:t>Act</w:t>
      </w:r>
      <w:r>
        <w:rPr>
          <w:sz w:val="20"/>
        </w:rPr>
        <w:t>"), as amended, (the "</w:t>
      </w:r>
      <w:r>
        <w:rPr>
          <w:b/>
          <w:sz w:val="20"/>
        </w:rPr>
        <w:t>Registration Statement</w:t>
      </w:r>
      <w:r>
        <w:rPr>
          <w:sz w:val="20"/>
        </w:rPr>
        <w:t>") related to (i) the registration and offering of an indeterminate (a) number of ordinary shares of the Company of no par value (the “</w:t>
      </w:r>
      <w:r>
        <w:rPr>
          <w:b/>
          <w:sz w:val="20"/>
        </w:rPr>
        <w:t>Ordinary Shares</w:t>
      </w:r>
      <w:r>
        <w:rPr>
          <w:sz w:val="20"/>
        </w:rPr>
        <w:t>”); (b) number of warrants to purchase Ordinary Shares or Debt Securities (as defined below) (the “</w:t>
      </w:r>
      <w:r>
        <w:rPr>
          <w:b/>
          <w:sz w:val="20"/>
        </w:rPr>
        <w:t>Warrants</w:t>
      </w:r>
      <w:r>
        <w:rPr>
          <w:sz w:val="20"/>
        </w:rPr>
        <w:t>”); (c) principal amount of debt securities that may be convertible into or exchangeable for Ordinary Shares or Warrants or other debt securities (“</w:t>
      </w:r>
      <w:r>
        <w:rPr>
          <w:b/>
          <w:sz w:val="20"/>
        </w:rPr>
        <w:t>Debt Securities</w:t>
      </w:r>
      <w:r>
        <w:rPr>
          <w:sz w:val="20"/>
        </w:rPr>
        <w:t>”) (d) number of units of Ordinary Shares or Warrants or Debt Securities (the “</w:t>
      </w:r>
      <w:r>
        <w:rPr>
          <w:b/>
          <w:sz w:val="20"/>
        </w:rPr>
        <w:t>Units</w:t>
      </w:r>
      <w:r>
        <w:rPr>
          <w:sz w:val="20"/>
        </w:rPr>
        <w:t>” and together with the Ordinary Shares, the Warrants, and the Debt Securities, the “</w:t>
      </w:r>
      <w:r>
        <w:rPr>
          <w:b/>
          <w:sz w:val="20"/>
        </w:rPr>
        <w:t>Securities</w:t>
      </w:r>
      <w:r>
        <w:rPr>
          <w:sz w:val="20"/>
        </w:rPr>
        <w:t>”) as shall collectively have an aggregate initial offering price not exceeding US$420,690,000 and (ii) the Company’s prospectus supplement to the Base Prospectus (the “</w:t>
      </w:r>
      <w:r>
        <w:rPr>
          <w:b/>
          <w:sz w:val="20"/>
        </w:rPr>
        <w:t>Prospectus Supplement</w:t>
      </w:r>
      <w:r>
        <w:rPr>
          <w:sz w:val="20"/>
        </w:rPr>
        <w:t>”) relating to the issuance and sale of (a) 5,230,000 of the Company’s Ordinary Shares at an offering price of $1.00 per share, (b) pre-funded Ordinary Share purchase warrants (the “</w:t>
      </w:r>
      <w:r>
        <w:rPr>
          <w:b/>
          <w:sz w:val="20"/>
        </w:rPr>
        <w:t>Pre-Funded Warrants</w:t>
      </w:r>
      <w:r>
        <w:rPr>
          <w:sz w:val="20"/>
        </w:rPr>
        <w:t>”) to purchase up to 9,770,000 Ordinary Shares (the “</w:t>
      </w:r>
      <w:r>
        <w:rPr>
          <w:b/>
          <w:sz w:val="20"/>
        </w:rPr>
        <w:t>Pre-Funded Warrant Shares</w:t>
      </w:r>
      <w:r>
        <w:rPr>
          <w:sz w:val="20"/>
        </w:rPr>
        <w:t>”), with an exercise price of $0.0001 per share, at an offering price of $0.9999 per Pre-Funded Warrant, and (c) ordinary share purchase warrants (the “PA Warrants”) to purchase up to 1,050,000 Ordinary Shares at a purchase price of $1.25 per share, pursuant to the Securities Purchase Agreement dated January 13, 2026 between the Company and the investors named therein (the “</w:t>
      </w:r>
      <w:r>
        <w:rPr>
          <w:b/>
          <w:sz w:val="20"/>
        </w:rPr>
        <w:t>Purchase Agreement</w:t>
      </w:r>
      <w:r>
        <w:rPr>
          <w:sz w:val="20"/>
        </w:rPr>
        <w:t>”) for aggregate gross proceeds of $14,999,023.00 (or $15,000,000.00 assuming the exercise of all Pre-Funded Warrants). In this letter, the term “</w:t>
      </w:r>
      <w:r>
        <w:rPr>
          <w:b/>
          <w:sz w:val="20"/>
        </w:rPr>
        <w:t>Prospectus</w:t>
      </w:r>
      <w:r>
        <w:rPr>
          <w:sz w:val="20"/>
        </w:rPr>
        <w:t>” refers to the Base Prospectus, as supplemented by the Prospectus Supplement and any additional amendment to the Prospectus Supplement.</w:t>
      </w:r>
    </w:p>
    <w:p>
      <w:pPr>
        <w:pStyle w:val="TextBody"/>
        <w:bidi w:val="0"/>
        <w:spacing w:before="0" w:after="200"/>
        <w:jc w:val="both"/>
        <w:rPr/>
      </w:pPr>
      <w:r>
        <w:rPr/>
        <w:t> </w:t>
      </w:r>
    </w:p>
    <w:p>
      <w:pPr>
        <w:pStyle w:val="TextBody"/>
        <w:bidi w:val="0"/>
        <w:jc w:val="both"/>
        <w:rPr>
          <w:sz w:val="16"/>
        </w:rPr>
      </w:pPr>
      <w:r>
        <w:rPr>
          <w:sz w:val="16"/>
        </w:rPr>
        <w:t>Forbes Hare LLP is a limited liability partnership established in England with number OC380080</w:t>
      </w:r>
    </w:p>
    <w:tbl>
      <w:tblPr>
        <w:tblW w:w="1250" w:type="dxa"/>
        <w:jc w:val="left"/>
        <w:tblInd w:w="0" w:type="dxa"/>
        <w:tblLayout w:type="fixed"/>
        <w:tblCellMar>
          <w:top w:w="0" w:type="dxa"/>
          <w:left w:w="0" w:type="dxa"/>
          <w:bottom w:w="0" w:type="dxa"/>
          <w:right w:w="0" w:type="dxa"/>
        </w:tblCellMar>
      </w:tblPr>
      <w:tblGrid>
        <w:gridCol w:w="75"/>
        <w:gridCol w:w="60"/>
        <w:gridCol w:w="111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115" w:type="dxa"/>
            <w:tcBorders/>
            <w:vAlign w:val="center"/>
          </w:tcPr>
          <w:p>
            <w:pPr>
              <w:pStyle w:val="TableContents"/>
              <w:bidi w:val="0"/>
              <w:spacing w:before="0" w:after="283"/>
              <w:jc w:val="right"/>
              <w:rPr/>
            </w:pPr>
            <w:r>
              <w:rPr/>
              <w:t>Page 1 of 5</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7"/>
        <w:gridCol w:w="829"/>
        <w:gridCol w:w="9219"/>
      </w:tblGrid>
      <w:tr>
        <w:trPr/>
        <w:tc>
          <w:tcPr>
            <w:tcW w:w="15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b/>
              </w:rPr>
            </w:pPr>
            <w:r>
              <w:rPr>
                <w:b/>
              </w:rPr>
              <w:t>1.</w:t>
            </w:r>
          </w:p>
        </w:tc>
        <w:tc>
          <w:tcPr>
            <w:tcW w:w="9219" w:type="dxa"/>
            <w:tcBorders/>
            <w:vAlign w:val="center"/>
          </w:tcPr>
          <w:p>
            <w:pPr>
              <w:pStyle w:val="TableContents"/>
              <w:bidi w:val="0"/>
              <w:spacing w:before="0" w:after="283"/>
              <w:jc w:val="left"/>
              <w:rPr>
                <w:b/>
              </w:rPr>
            </w:pPr>
            <w:r>
              <w:rPr>
                <w:b/>
              </w:rPr>
              <w:t>Documents Reviewed</w:t>
            </w:r>
          </w:p>
        </w:tc>
      </w:tr>
    </w:tbl>
    <w:p>
      <w:pPr>
        <w:pStyle w:val="TextBody"/>
        <w:bidi w:val="0"/>
        <w:spacing w:before="0" w:after="200"/>
        <w:ind w:left="0" w:right="0" w:hanging="0"/>
        <w:jc w:val="both"/>
        <w:rPr>
          <w:sz w:val="20"/>
        </w:rPr>
      </w:pPr>
      <w:r>
        <w:rPr>
          <w:sz w:val="20"/>
        </w:rPr>
        <w:t>We have reviewed originals, copies or drafts of the following documents:</w:t>
      </w:r>
    </w:p>
    <w:tbl>
      <w:tblPr>
        <w:tblW w:w="5000" w:type="pct"/>
        <w:jc w:val="left"/>
        <w:tblInd w:w="0" w:type="dxa"/>
        <w:tblLayout w:type="fixed"/>
        <w:tblCellMar>
          <w:top w:w="0" w:type="dxa"/>
          <w:left w:w="0" w:type="dxa"/>
          <w:bottom w:w="0" w:type="dxa"/>
          <w:right w:w="0" w:type="dxa"/>
        </w:tblCellMar>
      </w:tblPr>
      <w:tblGrid>
        <w:gridCol w:w="37"/>
        <w:gridCol w:w="347"/>
        <w:gridCol w:w="9821"/>
      </w:tblGrid>
      <w:tr>
        <w:trPr/>
        <w:tc>
          <w:tcPr>
            <w:tcW w:w="3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1.1.</w:t>
            </w:r>
          </w:p>
        </w:tc>
        <w:tc>
          <w:tcPr>
            <w:tcW w:w="9821" w:type="dxa"/>
            <w:tcBorders/>
            <w:vAlign w:val="center"/>
          </w:tcPr>
          <w:p>
            <w:pPr>
              <w:pStyle w:val="TableContents"/>
              <w:bidi w:val="0"/>
              <w:spacing w:before="0" w:after="283"/>
              <w:jc w:val="both"/>
              <w:rPr/>
            </w:pPr>
            <w:r>
              <w:rPr/>
              <w:t>The public records of the Company on file and available for public inspection at the Registry of Corporate Affairs in the British Virgin Islands (the "</w:t>
            </w:r>
            <w:r>
              <w:rPr>
                <w:b/>
              </w:rPr>
              <w:t>Registry of Corporate Affairs</w:t>
            </w:r>
            <w:r>
              <w:rPr/>
              <w:t>") on 15 January 2026 including:</w:t>
            </w:r>
          </w:p>
        </w:tc>
      </w:tr>
    </w:tbl>
    <w:tbl>
      <w:tblPr>
        <w:tblW w:w="5000" w:type="pct"/>
        <w:jc w:val="left"/>
        <w:tblInd w:w="0" w:type="dxa"/>
        <w:tblLayout w:type="fixed"/>
        <w:tblCellMar>
          <w:top w:w="0" w:type="dxa"/>
          <w:left w:w="0" w:type="dxa"/>
          <w:bottom w:w="0" w:type="dxa"/>
          <w:right w:w="0" w:type="dxa"/>
        </w:tblCellMar>
      </w:tblPr>
      <w:tblGrid>
        <w:gridCol w:w="80"/>
        <w:gridCol w:w="425"/>
        <w:gridCol w:w="9700"/>
      </w:tblGrid>
      <w:tr>
        <w:trPr/>
        <w:tc>
          <w:tcPr>
            <w:tcW w:w="8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pPr>
            <w:r>
              <w:rPr/>
              <w:t>a)</w:t>
            </w:r>
          </w:p>
        </w:tc>
        <w:tc>
          <w:tcPr>
            <w:tcW w:w="9700" w:type="dxa"/>
            <w:tcBorders/>
            <w:vAlign w:val="center"/>
          </w:tcPr>
          <w:p>
            <w:pPr>
              <w:pStyle w:val="TableContents"/>
              <w:bidi w:val="0"/>
              <w:spacing w:before="0" w:after="283"/>
              <w:jc w:val="left"/>
              <w:rPr/>
            </w:pPr>
            <w:r>
              <w:rPr/>
              <w:t>the Company’s Certificate of Incorporation; and</w:t>
            </w:r>
          </w:p>
        </w:tc>
      </w:tr>
    </w:tbl>
    <w:tbl>
      <w:tblPr>
        <w:tblW w:w="5000" w:type="pct"/>
        <w:jc w:val="left"/>
        <w:tblInd w:w="0" w:type="dxa"/>
        <w:tblLayout w:type="fixed"/>
        <w:tblCellMar>
          <w:top w:w="0" w:type="dxa"/>
          <w:left w:w="0" w:type="dxa"/>
          <w:bottom w:w="0" w:type="dxa"/>
          <w:right w:w="0" w:type="dxa"/>
        </w:tblCellMar>
      </w:tblPr>
      <w:tblGrid>
        <w:gridCol w:w="48"/>
        <w:gridCol w:w="278"/>
        <w:gridCol w:w="9879"/>
      </w:tblGrid>
      <w:tr>
        <w:trPr/>
        <w:tc>
          <w:tcPr>
            <w:tcW w:w="4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b)</w:t>
            </w:r>
          </w:p>
        </w:tc>
        <w:tc>
          <w:tcPr>
            <w:tcW w:w="9879" w:type="dxa"/>
            <w:tcBorders/>
            <w:vAlign w:val="center"/>
          </w:tcPr>
          <w:p>
            <w:pPr>
              <w:pStyle w:val="TableContents"/>
              <w:bidi w:val="0"/>
              <w:spacing w:before="0" w:after="283"/>
              <w:jc w:val="left"/>
              <w:rPr/>
            </w:pPr>
            <w:r>
              <w:rPr/>
              <w:t>the Company’s amended and restated Memorandum and Articles of Association.</w:t>
            </w:r>
          </w:p>
        </w:tc>
      </w:tr>
    </w:tbl>
    <w:tbl>
      <w:tblPr>
        <w:tblW w:w="5000" w:type="pct"/>
        <w:jc w:val="left"/>
        <w:tblInd w:w="0" w:type="dxa"/>
        <w:tblLayout w:type="fixed"/>
        <w:tblCellMar>
          <w:top w:w="0" w:type="dxa"/>
          <w:left w:w="0" w:type="dxa"/>
          <w:bottom w:w="0" w:type="dxa"/>
          <w:right w:w="0" w:type="dxa"/>
        </w:tblCellMar>
      </w:tblPr>
      <w:tblGrid>
        <w:gridCol w:w="37"/>
        <w:gridCol w:w="355"/>
        <w:gridCol w:w="9813"/>
      </w:tblGrid>
      <w:tr>
        <w:trPr/>
        <w:tc>
          <w:tcPr>
            <w:tcW w:w="3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pPr>
            <w:r>
              <w:rPr/>
              <w:t>1.2.</w:t>
            </w:r>
          </w:p>
        </w:tc>
        <w:tc>
          <w:tcPr>
            <w:tcW w:w="9813" w:type="dxa"/>
            <w:tcBorders/>
            <w:vAlign w:val="center"/>
          </w:tcPr>
          <w:p>
            <w:pPr>
              <w:pStyle w:val="TableContents"/>
              <w:bidi w:val="0"/>
              <w:spacing w:before="0" w:after="283"/>
              <w:jc w:val="both"/>
              <w:rPr/>
            </w:pPr>
            <w:r>
              <w:rPr/>
              <w:t>A certificate of good standing dated 15 January 2026 issued by the Registrar of Corporate Affairs, with respect to the Company (the “</w:t>
            </w:r>
            <w:r>
              <w:rPr>
                <w:b/>
              </w:rPr>
              <w:t>Certificate of Good Standing</w:t>
            </w:r>
            <w:r>
              <w:rPr/>
              <w:t>”).</w:t>
            </w:r>
          </w:p>
        </w:tc>
      </w:tr>
    </w:tbl>
    <w:tbl>
      <w:tblPr>
        <w:tblW w:w="5000" w:type="pct"/>
        <w:jc w:val="left"/>
        <w:tblInd w:w="0" w:type="dxa"/>
        <w:tblLayout w:type="fixed"/>
        <w:tblCellMar>
          <w:top w:w="0" w:type="dxa"/>
          <w:left w:w="0" w:type="dxa"/>
          <w:bottom w:w="0" w:type="dxa"/>
          <w:right w:w="0" w:type="dxa"/>
        </w:tblCellMar>
      </w:tblPr>
      <w:tblGrid>
        <w:gridCol w:w="37"/>
        <w:gridCol w:w="354"/>
        <w:gridCol w:w="9814"/>
      </w:tblGrid>
      <w:tr>
        <w:trPr/>
        <w:tc>
          <w:tcPr>
            <w:tcW w:w="3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pPr>
            <w:r>
              <w:rPr/>
              <w:t>1.3.</w:t>
            </w:r>
          </w:p>
        </w:tc>
        <w:tc>
          <w:tcPr>
            <w:tcW w:w="9814" w:type="dxa"/>
            <w:tcBorders/>
            <w:vAlign w:val="center"/>
          </w:tcPr>
          <w:p>
            <w:pPr>
              <w:pStyle w:val="TableContents"/>
              <w:bidi w:val="0"/>
              <w:spacing w:before="0" w:after="283"/>
              <w:jc w:val="both"/>
              <w:rPr/>
            </w:pPr>
            <w:r>
              <w:rPr/>
              <w:t>A Registered Agent’s Certificate dated December 3, 2025 issued by FH Corporate Services Ltd., the Company’s registered agent (the “</w:t>
            </w:r>
            <w:r>
              <w:rPr>
                <w:b/>
              </w:rPr>
              <w:t>Registered Agent’s Certificate</w:t>
            </w:r>
            <w:r>
              <w:rPr/>
              <w:t>").</w:t>
            </w:r>
          </w:p>
        </w:tc>
      </w:tr>
    </w:tbl>
    <w:tbl>
      <w:tblPr>
        <w:tblW w:w="5000" w:type="pct"/>
        <w:jc w:val="left"/>
        <w:tblInd w:w="0" w:type="dxa"/>
        <w:tblLayout w:type="fixed"/>
        <w:tblCellMar>
          <w:top w:w="0" w:type="dxa"/>
          <w:left w:w="0" w:type="dxa"/>
          <w:bottom w:w="0" w:type="dxa"/>
          <w:right w:w="0" w:type="dxa"/>
        </w:tblCellMar>
      </w:tblPr>
      <w:tblGrid>
        <w:gridCol w:w="37"/>
        <w:gridCol w:w="363"/>
        <w:gridCol w:w="9805"/>
      </w:tblGrid>
      <w:tr>
        <w:trPr/>
        <w:tc>
          <w:tcPr>
            <w:tcW w:w="3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pPr>
            <w:r>
              <w:rPr/>
              <w:t>1.4.</w:t>
            </w:r>
          </w:p>
        </w:tc>
        <w:tc>
          <w:tcPr>
            <w:tcW w:w="9805" w:type="dxa"/>
            <w:tcBorders/>
            <w:vAlign w:val="center"/>
          </w:tcPr>
          <w:p>
            <w:pPr>
              <w:pStyle w:val="TableContents"/>
              <w:bidi w:val="0"/>
              <w:spacing w:before="0" w:after="283"/>
              <w:jc w:val="both"/>
              <w:rPr/>
            </w:pPr>
            <w:r>
              <w:rPr/>
              <w:t>The records of proceedings on file with and available for inspection on 15 January 2026 at the British Virgin Islands High Court Registry.</w:t>
            </w:r>
          </w:p>
        </w:tc>
      </w:tr>
    </w:tbl>
    <w:tbl>
      <w:tblPr>
        <w:tblW w:w="5000" w:type="pct"/>
        <w:jc w:val="left"/>
        <w:tblInd w:w="0" w:type="dxa"/>
        <w:tblLayout w:type="fixed"/>
        <w:tblCellMar>
          <w:top w:w="0" w:type="dxa"/>
          <w:left w:w="0" w:type="dxa"/>
          <w:bottom w:w="0" w:type="dxa"/>
          <w:right w:w="0" w:type="dxa"/>
        </w:tblCellMar>
      </w:tblPr>
      <w:tblGrid>
        <w:gridCol w:w="37"/>
        <w:gridCol w:w="373"/>
        <w:gridCol w:w="9795"/>
      </w:tblGrid>
      <w:tr>
        <w:trPr/>
        <w:tc>
          <w:tcPr>
            <w:tcW w:w="3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pPr>
            <w:r>
              <w:rPr/>
              <w:t>1.5.</w:t>
            </w:r>
          </w:p>
        </w:tc>
        <w:tc>
          <w:tcPr>
            <w:tcW w:w="9795" w:type="dxa"/>
            <w:tcBorders/>
            <w:vAlign w:val="center"/>
          </w:tcPr>
          <w:p>
            <w:pPr>
              <w:pStyle w:val="TableContents"/>
              <w:bidi w:val="0"/>
              <w:spacing w:before="0" w:after="283"/>
              <w:jc w:val="both"/>
              <w:rPr/>
            </w:pPr>
            <w:r>
              <w:rPr/>
              <w:t>The written resolutions of the board of directors of the Company passed on 14 January 2026 (the “</w:t>
            </w:r>
            <w:r>
              <w:rPr>
                <w:b/>
              </w:rPr>
              <w:t>Resolutions</w:t>
            </w:r>
            <w:r>
              <w:rPr/>
              <w:t>”).</w:t>
            </w:r>
          </w:p>
        </w:tc>
      </w:tr>
    </w:tbl>
    <w:tbl>
      <w:tblPr>
        <w:tblW w:w="5000" w:type="pct"/>
        <w:jc w:val="left"/>
        <w:tblInd w:w="0" w:type="dxa"/>
        <w:tblLayout w:type="fixed"/>
        <w:tblCellMar>
          <w:top w:w="0" w:type="dxa"/>
          <w:left w:w="0" w:type="dxa"/>
          <w:bottom w:w="0" w:type="dxa"/>
          <w:right w:w="0" w:type="dxa"/>
        </w:tblCellMar>
      </w:tblPr>
      <w:tblGrid>
        <w:gridCol w:w="125"/>
        <w:gridCol w:w="1260"/>
        <w:gridCol w:w="8820"/>
      </w:tblGrid>
      <w:tr>
        <w:trPr/>
        <w:tc>
          <w:tcPr>
            <w:tcW w:w="12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pPr>
            <w:r>
              <w:rPr/>
              <w:t>1.6.</w:t>
            </w:r>
          </w:p>
        </w:tc>
        <w:tc>
          <w:tcPr>
            <w:tcW w:w="8820" w:type="dxa"/>
            <w:tcBorders/>
            <w:vAlign w:val="center"/>
          </w:tcPr>
          <w:p>
            <w:pPr>
              <w:pStyle w:val="TableContents"/>
              <w:bidi w:val="0"/>
              <w:spacing w:before="0" w:after="283"/>
              <w:jc w:val="both"/>
              <w:rPr/>
            </w:pPr>
            <w:r>
              <w:rPr/>
              <w:t>The Registration Statement.</w:t>
            </w:r>
          </w:p>
        </w:tc>
      </w:tr>
    </w:tbl>
    <w:tbl>
      <w:tblPr>
        <w:tblW w:w="5000" w:type="pct"/>
        <w:jc w:val="left"/>
        <w:tblInd w:w="0" w:type="dxa"/>
        <w:tblLayout w:type="fixed"/>
        <w:tblCellMar>
          <w:top w:w="0" w:type="dxa"/>
          <w:left w:w="0" w:type="dxa"/>
          <w:bottom w:w="0" w:type="dxa"/>
          <w:right w:w="0" w:type="dxa"/>
        </w:tblCellMar>
      </w:tblPr>
      <w:tblGrid>
        <w:gridCol w:w="245"/>
        <w:gridCol w:w="1294"/>
        <w:gridCol w:w="8666"/>
      </w:tblGrid>
      <w:tr>
        <w:trPr/>
        <w:tc>
          <w:tcPr>
            <w:tcW w:w="245"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b/>
              </w:rPr>
            </w:pPr>
            <w:r>
              <w:rPr>
                <w:b/>
              </w:rPr>
              <w:t>2.</w:t>
            </w:r>
          </w:p>
        </w:tc>
        <w:tc>
          <w:tcPr>
            <w:tcW w:w="8666" w:type="dxa"/>
            <w:tcBorders/>
            <w:vAlign w:val="center"/>
          </w:tcPr>
          <w:p>
            <w:pPr>
              <w:pStyle w:val="TableContents"/>
              <w:bidi w:val="0"/>
              <w:spacing w:before="0" w:after="283"/>
              <w:jc w:val="left"/>
              <w:rPr>
                <w:b/>
              </w:rPr>
            </w:pPr>
            <w:r>
              <w:rPr>
                <w:b/>
              </w:rPr>
              <w:t>Assumptions</w:t>
            </w:r>
          </w:p>
        </w:tc>
      </w:tr>
    </w:tbl>
    <w:p>
      <w:pPr>
        <w:pStyle w:val="TextBody"/>
        <w:bidi w:val="0"/>
        <w:spacing w:before="0" w:after="200"/>
        <w:jc w:val="both"/>
        <w:rPr>
          <w:sz w:val="20"/>
        </w:rPr>
      </w:pPr>
      <w:r>
        <w:rPr>
          <w:sz w:val="20"/>
        </w:rPr>
        <w:t>In giving this opinion we have assumed, without further verification, the completeness and accuracy of the Registered Agent’s Certificate and the Certificate of Good Standing and that the information contained in such certificates remains accurate as at the date of this opinion. We have also relied upon the following assumptions, which we have not independently verified:</w:t>
      </w:r>
    </w:p>
    <w:tbl>
      <w:tblPr>
        <w:tblW w:w="5000" w:type="pct"/>
        <w:jc w:val="left"/>
        <w:tblInd w:w="0" w:type="dxa"/>
        <w:tblLayout w:type="fixed"/>
        <w:tblCellMar>
          <w:top w:w="0" w:type="dxa"/>
          <w:left w:w="0" w:type="dxa"/>
          <w:bottom w:w="0" w:type="dxa"/>
          <w:right w:w="0" w:type="dxa"/>
        </w:tblCellMar>
      </w:tblPr>
      <w:tblGrid>
        <w:gridCol w:w="37"/>
        <w:gridCol w:w="361"/>
        <w:gridCol w:w="9807"/>
      </w:tblGrid>
      <w:tr>
        <w:trPr/>
        <w:tc>
          <w:tcPr>
            <w:tcW w:w="3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pPr>
            <w:r>
              <w:rPr/>
              <w:t>2.1.</w:t>
            </w:r>
          </w:p>
        </w:tc>
        <w:tc>
          <w:tcPr>
            <w:tcW w:w="9807" w:type="dxa"/>
            <w:tcBorders/>
            <w:vAlign w:val="center"/>
          </w:tcPr>
          <w:p>
            <w:pPr>
              <w:pStyle w:val="TableContents"/>
              <w:bidi w:val="0"/>
              <w:spacing w:before="0" w:after="283"/>
              <w:jc w:val="both"/>
              <w:rPr/>
            </w:pPr>
            <w:r>
              <w:rPr/>
              <w:t>Copy documents, conformed copies or drafts of documents provided to us are true and complete copies of, or in the final forms of, the originals.</w:t>
            </w:r>
          </w:p>
        </w:tc>
      </w:tr>
    </w:tbl>
    <w:tbl>
      <w:tblPr>
        <w:tblW w:w="1250" w:type="dxa"/>
        <w:jc w:val="left"/>
        <w:tblInd w:w="0" w:type="dxa"/>
        <w:tblLayout w:type="fixed"/>
        <w:tblCellMar>
          <w:top w:w="0" w:type="dxa"/>
          <w:left w:w="0" w:type="dxa"/>
          <w:bottom w:w="0" w:type="dxa"/>
          <w:right w:w="0" w:type="dxa"/>
        </w:tblCellMar>
      </w:tblPr>
      <w:tblGrid>
        <w:gridCol w:w="75"/>
        <w:gridCol w:w="60"/>
        <w:gridCol w:w="111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115" w:type="dxa"/>
            <w:tcBorders/>
            <w:vAlign w:val="center"/>
          </w:tcPr>
          <w:p>
            <w:pPr>
              <w:pStyle w:val="TableContents"/>
              <w:bidi w:val="0"/>
              <w:spacing w:before="0" w:after="283"/>
              <w:jc w:val="right"/>
              <w:rPr/>
            </w:pPr>
            <w:r>
              <w:rPr/>
              <w:t>Page 2 of 5</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3"/>
        <w:gridCol w:w="839"/>
        <w:gridCol w:w="9283"/>
      </w:tblGrid>
      <w:tr>
        <w:trPr/>
        <w:tc>
          <w:tcPr>
            <w:tcW w:w="8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pPr>
            <w:r>
              <w:rPr/>
              <w:t>2.2.</w:t>
            </w:r>
          </w:p>
        </w:tc>
        <w:tc>
          <w:tcPr>
            <w:tcW w:w="9283" w:type="dxa"/>
            <w:tcBorders/>
            <w:vAlign w:val="center"/>
          </w:tcPr>
          <w:p>
            <w:pPr>
              <w:pStyle w:val="TableContents"/>
              <w:bidi w:val="0"/>
              <w:spacing w:before="0" w:after="283"/>
              <w:jc w:val="both"/>
              <w:rPr/>
            </w:pPr>
            <w:r>
              <w:rPr/>
              <w:t>All signatures, initials and seals are genuine.</w:t>
            </w:r>
          </w:p>
        </w:tc>
      </w:tr>
    </w:tbl>
    <w:tbl>
      <w:tblPr>
        <w:tblW w:w="5000" w:type="pct"/>
        <w:jc w:val="left"/>
        <w:tblInd w:w="0" w:type="dxa"/>
        <w:tblLayout w:type="fixed"/>
        <w:tblCellMar>
          <w:top w:w="0" w:type="dxa"/>
          <w:left w:w="0" w:type="dxa"/>
          <w:bottom w:w="0" w:type="dxa"/>
          <w:right w:w="0" w:type="dxa"/>
        </w:tblCellMar>
      </w:tblPr>
      <w:tblGrid>
        <w:gridCol w:w="37"/>
        <w:gridCol w:w="369"/>
        <w:gridCol w:w="9799"/>
      </w:tblGrid>
      <w:tr>
        <w:trPr/>
        <w:tc>
          <w:tcPr>
            <w:tcW w:w="3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pPr>
            <w:r>
              <w:rPr/>
              <w:t>2.3.</w:t>
            </w:r>
          </w:p>
        </w:tc>
        <w:tc>
          <w:tcPr>
            <w:tcW w:w="9799" w:type="dxa"/>
            <w:tcBorders/>
            <w:vAlign w:val="center"/>
          </w:tcPr>
          <w:p>
            <w:pPr>
              <w:pStyle w:val="TableContents"/>
              <w:bidi w:val="0"/>
              <w:spacing w:before="0" w:after="283"/>
              <w:jc w:val="both"/>
              <w:rPr/>
            </w:pPr>
            <w:r>
              <w:rPr/>
              <w:t>The accuracy and completeness of all factual representations expressed in or implied by the documents we have examined.</w:t>
            </w:r>
          </w:p>
        </w:tc>
      </w:tr>
    </w:tbl>
    <w:tbl>
      <w:tblPr>
        <w:tblW w:w="5000" w:type="pct"/>
        <w:jc w:val="left"/>
        <w:tblInd w:w="0" w:type="dxa"/>
        <w:tblLayout w:type="fixed"/>
        <w:tblCellMar>
          <w:top w:w="0" w:type="dxa"/>
          <w:left w:w="0" w:type="dxa"/>
          <w:bottom w:w="0" w:type="dxa"/>
          <w:right w:w="0" w:type="dxa"/>
        </w:tblCellMar>
      </w:tblPr>
      <w:tblGrid>
        <w:gridCol w:w="37"/>
        <w:gridCol w:w="331"/>
        <w:gridCol w:w="9837"/>
      </w:tblGrid>
      <w:tr>
        <w:trPr/>
        <w:tc>
          <w:tcPr>
            <w:tcW w:w="3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pPr>
            <w:r>
              <w:rPr/>
              <w:t>2.4.</w:t>
            </w:r>
          </w:p>
        </w:tc>
        <w:tc>
          <w:tcPr>
            <w:tcW w:w="9837" w:type="dxa"/>
            <w:tcBorders/>
            <w:vAlign w:val="center"/>
          </w:tcPr>
          <w:p>
            <w:pPr>
              <w:pStyle w:val="TableContents"/>
              <w:bidi w:val="0"/>
              <w:spacing w:before="0" w:after="283"/>
              <w:jc w:val="left"/>
              <w:rPr/>
            </w:pPr>
            <w:r>
              <w:rPr/>
              <w:t>That all public records of the Company which we have examined are accurate and that the information disclosed by the searches which we conducted against the Company at the Registry of Corporate Affairs and the High Court Registry is true and complete and that such information has not since then been altered and that such searches did not fail to disclose any information which had been delivered for registration but did not appear on the public records at the date of our searches.</w:t>
            </w:r>
          </w:p>
        </w:tc>
      </w:tr>
    </w:tbl>
    <w:tbl>
      <w:tblPr>
        <w:tblW w:w="5000" w:type="pct"/>
        <w:jc w:val="left"/>
        <w:tblInd w:w="0" w:type="dxa"/>
        <w:tblLayout w:type="fixed"/>
        <w:tblCellMar>
          <w:top w:w="0" w:type="dxa"/>
          <w:left w:w="0" w:type="dxa"/>
          <w:bottom w:w="0" w:type="dxa"/>
          <w:right w:w="0" w:type="dxa"/>
        </w:tblCellMar>
      </w:tblPr>
      <w:tblGrid>
        <w:gridCol w:w="51"/>
        <w:gridCol w:w="516"/>
        <w:gridCol w:w="9638"/>
      </w:tblGrid>
      <w:tr>
        <w:trPr/>
        <w:tc>
          <w:tcPr>
            <w:tcW w:w="5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pPr>
            <w:r>
              <w:rPr/>
              <w:t>2.5.</w:t>
            </w:r>
          </w:p>
        </w:tc>
        <w:tc>
          <w:tcPr>
            <w:tcW w:w="9638" w:type="dxa"/>
            <w:tcBorders/>
            <w:vAlign w:val="center"/>
          </w:tcPr>
          <w:p>
            <w:pPr>
              <w:pStyle w:val="TableContents"/>
              <w:bidi w:val="0"/>
              <w:spacing w:before="0" w:after="283"/>
              <w:jc w:val="both"/>
              <w:rPr/>
            </w:pPr>
            <w:r>
              <w:rPr/>
              <w:t>The Resolutions remain in full force and effect and have not been revoked.</w:t>
            </w:r>
          </w:p>
        </w:tc>
      </w:tr>
    </w:tbl>
    <w:tbl>
      <w:tblPr>
        <w:tblW w:w="5000" w:type="pct"/>
        <w:jc w:val="left"/>
        <w:tblInd w:w="0" w:type="dxa"/>
        <w:tblLayout w:type="fixed"/>
        <w:tblCellMar>
          <w:top w:w="0" w:type="dxa"/>
          <w:left w:w="0" w:type="dxa"/>
          <w:bottom w:w="0" w:type="dxa"/>
          <w:right w:w="0" w:type="dxa"/>
        </w:tblCellMar>
      </w:tblPr>
      <w:tblGrid>
        <w:gridCol w:w="37"/>
        <w:gridCol w:w="369"/>
        <w:gridCol w:w="9799"/>
      </w:tblGrid>
      <w:tr>
        <w:trPr/>
        <w:tc>
          <w:tcPr>
            <w:tcW w:w="3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pPr>
            <w:r>
              <w:rPr/>
              <w:t>2.6.</w:t>
            </w:r>
          </w:p>
        </w:tc>
        <w:tc>
          <w:tcPr>
            <w:tcW w:w="9799" w:type="dxa"/>
            <w:tcBorders/>
            <w:vAlign w:val="center"/>
          </w:tcPr>
          <w:p>
            <w:pPr>
              <w:pStyle w:val="TableContents"/>
              <w:bidi w:val="0"/>
              <w:spacing w:before="0" w:after="283"/>
              <w:jc w:val="both"/>
              <w:rPr/>
            </w:pPr>
            <w:r>
              <w:rPr/>
              <w:t>That the Company’s issuance of any Ordinary Shares is in compliance with its Memorandum and Articles of Association.</w:t>
            </w:r>
          </w:p>
        </w:tc>
      </w:tr>
    </w:tbl>
    <w:tbl>
      <w:tblPr>
        <w:tblW w:w="5000" w:type="pct"/>
        <w:jc w:val="left"/>
        <w:tblInd w:w="0" w:type="dxa"/>
        <w:tblLayout w:type="fixed"/>
        <w:tblCellMar>
          <w:top w:w="0" w:type="dxa"/>
          <w:left w:w="0" w:type="dxa"/>
          <w:bottom w:w="0" w:type="dxa"/>
          <w:right w:w="0" w:type="dxa"/>
        </w:tblCellMar>
      </w:tblPr>
      <w:tblGrid>
        <w:gridCol w:w="37"/>
        <w:gridCol w:w="358"/>
        <w:gridCol w:w="9810"/>
      </w:tblGrid>
      <w:tr>
        <w:trPr/>
        <w:tc>
          <w:tcPr>
            <w:tcW w:w="3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Pr>
            <w:r>
              <w:rPr/>
              <w:t>2.7.</w:t>
            </w:r>
          </w:p>
        </w:tc>
        <w:tc>
          <w:tcPr>
            <w:tcW w:w="9810" w:type="dxa"/>
            <w:tcBorders/>
            <w:vAlign w:val="center"/>
          </w:tcPr>
          <w:p>
            <w:pPr>
              <w:pStyle w:val="TableContents"/>
              <w:bidi w:val="0"/>
              <w:spacing w:before="0" w:after="283"/>
              <w:jc w:val="both"/>
              <w:rPr/>
            </w:pPr>
            <w:r>
              <w:rPr/>
              <w:t>That the Company is not conducting a "regulated activity" under a "financial services enactment" as defined under the Regulatory Code, 2009 (as amended).</w:t>
            </w:r>
          </w:p>
        </w:tc>
      </w:tr>
    </w:tbl>
    <w:tbl>
      <w:tblPr>
        <w:tblW w:w="5000" w:type="pct"/>
        <w:jc w:val="left"/>
        <w:tblInd w:w="0" w:type="dxa"/>
        <w:tblLayout w:type="fixed"/>
        <w:tblCellMar>
          <w:top w:w="0" w:type="dxa"/>
          <w:left w:w="0" w:type="dxa"/>
          <w:bottom w:w="0" w:type="dxa"/>
          <w:right w:w="0" w:type="dxa"/>
        </w:tblCellMar>
      </w:tblPr>
      <w:tblGrid>
        <w:gridCol w:w="37"/>
        <w:gridCol w:w="359"/>
        <w:gridCol w:w="9809"/>
      </w:tblGrid>
      <w:tr>
        <w:trPr/>
        <w:tc>
          <w:tcPr>
            <w:tcW w:w="3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pPr>
            <w:r>
              <w:rPr/>
              <w:t>2.8.</w:t>
            </w:r>
          </w:p>
        </w:tc>
        <w:tc>
          <w:tcPr>
            <w:tcW w:w="9809" w:type="dxa"/>
            <w:tcBorders/>
            <w:vAlign w:val="center"/>
          </w:tcPr>
          <w:p>
            <w:pPr>
              <w:pStyle w:val="TableContents"/>
              <w:bidi w:val="0"/>
              <w:spacing w:before="0" w:after="283"/>
              <w:jc w:val="both"/>
              <w:rPr/>
            </w:pPr>
            <w:r>
              <w:rPr/>
              <w:t>That the Company is in compliance with the British Virgin Islands Economic Substance (Companies and Limited Partnerships) Act 2018 (as amended).</w:t>
            </w:r>
          </w:p>
        </w:tc>
      </w:tr>
    </w:tbl>
    <w:tbl>
      <w:tblPr>
        <w:tblW w:w="5000" w:type="pct"/>
        <w:jc w:val="left"/>
        <w:tblInd w:w="0" w:type="dxa"/>
        <w:tblLayout w:type="fixed"/>
        <w:tblCellMar>
          <w:top w:w="0" w:type="dxa"/>
          <w:left w:w="0" w:type="dxa"/>
          <w:bottom w:w="0" w:type="dxa"/>
          <w:right w:w="0" w:type="dxa"/>
        </w:tblCellMar>
      </w:tblPr>
      <w:tblGrid>
        <w:gridCol w:w="37"/>
        <w:gridCol w:w="344"/>
        <w:gridCol w:w="9824"/>
      </w:tblGrid>
      <w:tr>
        <w:trPr/>
        <w:tc>
          <w:tcPr>
            <w:tcW w:w="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2.9.</w:t>
            </w:r>
          </w:p>
        </w:tc>
        <w:tc>
          <w:tcPr>
            <w:tcW w:w="9824" w:type="dxa"/>
            <w:tcBorders/>
            <w:vAlign w:val="center"/>
          </w:tcPr>
          <w:p>
            <w:pPr>
              <w:pStyle w:val="TableContents"/>
              <w:bidi w:val="0"/>
              <w:spacing w:before="0" w:after="283"/>
              <w:jc w:val="both"/>
              <w:rPr/>
            </w:pPr>
            <w:r>
              <w:rPr/>
              <w:t>There is nothing under any law (other than the law of the British Virgin Islands) which would or might affect the opinions hereinafter appearing. Specifically, we have made no independent investigation of the laws of the State of New York.</w:t>
            </w:r>
          </w:p>
        </w:tc>
      </w:tr>
    </w:tbl>
    <w:tbl>
      <w:tblPr>
        <w:tblW w:w="5000" w:type="pct"/>
        <w:jc w:val="left"/>
        <w:tblInd w:w="0" w:type="dxa"/>
        <w:tblLayout w:type="fixed"/>
        <w:tblCellMar>
          <w:top w:w="0" w:type="dxa"/>
          <w:left w:w="0" w:type="dxa"/>
          <w:bottom w:w="0" w:type="dxa"/>
          <w:right w:w="0" w:type="dxa"/>
        </w:tblCellMar>
      </w:tblPr>
      <w:tblGrid>
        <w:gridCol w:w="353"/>
        <w:gridCol w:w="1859"/>
        <w:gridCol w:w="7993"/>
      </w:tblGrid>
      <w:tr>
        <w:trPr/>
        <w:tc>
          <w:tcPr>
            <w:tcW w:w="353"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b/>
              </w:rPr>
            </w:pPr>
            <w:r>
              <w:rPr>
                <w:b/>
              </w:rPr>
              <w:t>3.</w:t>
            </w:r>
          </w:p>
        </w:tc>
        <w:tc>
          <w:tcPr>
            <w:tcW w:w="7993" w:type="dxa"/>
            <w:tcBorders/>
            <w:vAlign w:val="center"/>
          </w:tcPr>
          <w:p>
            <w:pPr>
              <w:pStyle w:val="TableContents"/>
              <w:bidi w:val="0"/>
              <w:spacing w:before="0" w:after="283"/>
              <w:jc w:val="left"/>
              <w:rPr>
                <w:b/>
              </w:rPr>
            </w:pPr>
            <w:r>
              <w:rPr>
                <w:b/>
              </w:rPr>
              <w:t>Opinion</w:t>
            </w:r>
          </w:p>
        </w:tc>
      </w:tr>
    </w:tbl>
    <w:p>
      <w:pPr>
        <w:pStyle w:val="TextBody"/>
        <w:bidi w:val="0"/>
        <w:spacing w:before="0" w:after="200"/>
        <w:jc w:val="both"/>
        <w:rPr>
          <w:sz w:val="20"/>
        </w:rPr>
      </w:pPr>
      <w:r>
        <w:rPr>
          <w:sz w:val="20"/>
        </w:rPr>
        <w:t>Based upon, and subject to, the foregoing assumptions and the qualifications set out in section 4 below, and having regard to such legal considerations as we consider relevant, we are of the opinion that:</w:t>
      </w:r>
    </w:p>
    <w:tbl>
      <w:tblPr>
        <w:tblW w:w="5000" w:type="pct"/>
        <w:jc w:val="left"/>
        <w:tblInd w:w="0" w:type="dxa"/>
        <w:tblLayout w:type="fixed"/>
        <w:tblCellMar>
          <w:top w:w="0" w:type="dxa"/>
          <w:left w:w="0" w:type="dxa"/>
          <w:bottom w:w="0" w:type="dxa"/>
          <w:right w:w="0" w:type="dxa"/>
        </w:tblCellMar>
      </w:tblPr>
      <w:tblGrid>
        <w:gridCol w:w="37"/>
        <w:gridCol w:w="338"/>
        <w:gridCol w:w="9830"/>
      </w:tblGrid>
      <w:tr>
        <w:trPr/>
        <w:tc>
          <w:tcPr>
            <w:tcW w:w="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3.1.</w:t>
            </w:r>
          </w:p>
        </w:tc>
        <w:tc>
          <w:tcPr>
            <w:tcW w:w="9830" w:type="dxa"/>
            <w:tcBorders/>
            <w:vAlign w:val="center"/>
          </w:tcPr>
          <w:p>
            <w:pPr>
              <w:pStyle w:val="TableContents"/>
              <w:bidi w:val="0"/>
              <w:spacing w:before="0" w:after="283"/>
              <w:jc w:val="both"/>
              <w:rPr/>
            </w:pPr>
            <w:r>
              <w:rPr/>
              <w:t>The Company is a company limited by shares and registered under the BVI Business Companies Act (2020 Revision), as amended, in good standing at the Registry of Corporate Affairs and validly existing under the laws of the British Virgin Islands, and possesses the capacity to sue and be sued in its own name.</w:t>
            </w:r>
          </w:p>
        </w:tc>
      </w:tr>
    </w:tbl>
    <w:tbl>
      <w:tblPr>
        <w:tblW w:w="5000" w:type="pct"/>
        <w:jc w:val="left"/>
        <w:tblInd w:w="0" w:type="dxa"/>
        <w:tblLayout w:type="fixed"/>
        <w:tblCellMar>
          <w:top w:w="0" w:type="dxa"/>
          <w:left w:w="0" w:type="dxa"/>
          <w:bottom w:w="0" w:type="dxa"/>
          <w:right w:w="0" w:type="dxa"/>
        </w:tblCellMar>
      </w:tblPr>
      <w:tblGrid>
        <w:gridCol w:w="38"/>
        <w:gridCol w:w="385"/>
        <w:gridCol w:w="9782"/>
      </w:tblGrid>
      <w:tr>
        <w:trPr/>
        <w:tc>
          <w:tcPr>
            <w:tcW w:w="3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pPr>
            <w:r>
              <w:rPr/>
              <w:t>3.2.</w:t>
            </w:r>
          </w:p>
        </w:tc>
        <w:tc>
          <w:tcPr>
            <w:tcW w:w="9782" w:type="dxa"/>
            <w:tcBorders/>
            <w:vAlign w:val="center"/>
          </w:tcPr>
          <w:p>
            <w:pPr>
              <w:pStyle w:val="TableContents"/>
              <w:bidi w:val="0"/>
              <w:spacing w:before="0" w:after="283"/>
              <w:jc w:val="both"/>
              <w:rPr/>
            </w:pPr>
            <w:r>
              <w:rPr/>
              <w:t>The Company is authorised to issue an unlimited number of shares of no par value of one single class.</w:t>
            </w:r>
          </w:p>
        </w:tc>
      </w:tr>
    </w:tbl>
    <w:tbl>
      <w:tblPr>
        <w:tblW w:w="1250" w:type="dxa"/>
        <w:jc w:val="left"/>
        <w:tblInd w:w="0" w:type="dxa"/>
        <w:tblLayout w:type="fixed"/>
        <w:tblCellMar>
          <w:top w:w="0" w:type="dxa"/>
          <w:left w:w="0" w:type="dxa"/>
          <w:bottom w:w="0" w:type="dxa"/>
          <w:right w:w="0" w:type="dxa"/>
        </w:tblCellMar>
      </w:tblPr>
      <w:tblGrid>
        <w:gridCol w:w="75"/>
        <w:gridCol w:w="60"/>
        <w:gridCol w:w="111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115" w:type="dxa"/>
            <w:tcBorders/>
            <w:vAlign w:val="center"/>
          </w:tcPr>
          <w:p>
            <w:pPr>
              <w:pStyle w:val="TableContents"/>
              <w:bidi w:val="0"/>
              <w:spacing w:before="0" w:after="283"/>
              <w:jc w:val="right"/>
              <w:rPr/>
            </w:pPr>
            <w:r>
              <w:rPr/>
              <w:t>Page 3 of 5</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36"/>
        <w:gridCol w:w="9832"/>
      </w:tblGrid>
      <w:tr>
        <w:trPr/>
        <w:tc>
          <w:tcPr>
            <w:tcW w:w="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pPr>
            <w:r>
              <w:rPr/>
              <w:t>3.3.</w:t>
            </w:r>
          </w:p>
        </w:tc>
        <w:tc>
          <w:tcPr>
            <w:tcW w:w="9832" w:type="dxa"/>
            <w:tcBorders/>
            <w:vAlign w:val="center"/>
          </w:tcPr>
          <w:p>
            <w:pPr>
              <w:pStyle w:val="TableContents"/>
              <w:bidi w:val="0"/>
              <w:spacing w:before="0" w:after="283"/>
              <w:jc w:val="both"/>
              <w:rPr/>
            </w:pPr>
            <w:r>
              <w:rPr/>
              <w:t>When the Pre-Funded Warrants and PA Warrants have been issued and delivered in accordance with the Purchase Agreement against payment in full of the consideration payable therefor as contemplated by the Purchase Agreement, the Pre-Funded Warrants and PA Warrants will constitute valid and legally binding obligations of the Company.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40"/>
        <w:gridCol w:w="9828"/>
      </w:tblGrid>
      <w:tr>
        <w:trPr/>
        <w:tc>
          <w:tcPr>
            <w:tcW w:w="3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3.4.</w:t>
            </w:r>
          </w:p>
        </w:tc>
        <w:tc>
          <w:tcPr>
            <w:tcW w:w="9828" w:type="dxa"/>
            <w:tcBorders/>
            <w:vAlign w:val="center"/>
          </w:tcPr>
          <w:p>
            <w:pPr>
              <w:pStyle w:val="TableContents"/>
              <w:bidi w:val="0"/>
              <w:spacing w:before="0" w:after="283"/>
              <w:jc w:val="both"/>
              <w:rPr/>
            </w:pPr>
            <w:r>
              <w:rPr/>
              <w:t>Each of the Ordinary Shares, Pre-Funded Warrants, and PA Warrants, and Ordinary Shares underlying the Pre-Funded Warrants and PA Warrants, to be offered and sold by the Company as contemplated by the Registration Statement, Prospectus, and Purchase Agreement will, when:</w:t>
            </w:r>
          </w:p>
        </w:tc>
      </w:tr>
    </w:tbl>
    <w:tbl>
      <w:tblPr>
        <w:tblW w:w="5000" w:type="pct"/>
        <w:jc w:val="left"/>
        <w:tblInd w:w="0" w:type="dxa"/>
        <w:tblLayout w:type="fixed"/>
        <w:tblCellMar>
          <w:top w:w="0" w:type="dxa"/>
          <w:left w:w="0" w:type="dxa"/>
          <w:bottom w:w="0" w:type="dxa"/>
          <w:right w:w="0" w:type="dxa"/>
        </w:tblCellMar>
      </w:tblPr>
      <w:tblGrid>
        <w:gridCol w:w="51"/>
        <w:gridCol w:w="269"/>
        <w:gridCol w:w="9885"/>
      </w:tblGrid>
      <w:tr>
        <w:trPr/>
        <w:tc>
          <w:tcPr>
            <w:tcW w:w="5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a)</w:t>
            </w:r>
          </w:p>
        </w:tc>
        <w:tc>
          <w:tcPr>
            <w:tcW w:w="9885" w:type="dxa"/>
            <w:tcBorders/>
            <w:vAlign w:val="center"/>
          </w:tcPr>
          <w:p>
            <w:pPr>
              <w:pStyle w:val="TableContents"/>
              <w:bidi w:val="0"/>
              <w:spacing w:before="0" w:after="283"/>
              <w:jc w:val="both"/>
              <w:rPr/>
            </w:pPr>
            <w:r>
              <w:rPr/>
              <w:t>specifically authorised for issuance by the board of directors of the Company;</w:t>
            </w:r>
          </w:p>
        </w:tc>
      </w:tr>
    </w:tbl>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b)</w:t>
            </w:r>
          </w:p>
        </w:tc>
        <w:tc>
          <w:tcPr>
            <w:tcW w:w="9986" w:type="dxa"/>
            <w:tcBorders/>
            <w:vAlign w:val="center"/>
          </w:tcPr>
          <w:p>
            <w:pPr>
              <w:pStyle w:val="TableContents"/>
              <w:bidi w:val="0"/>
              <w:spacing w:before="0" w:after="283"/>
              <w:jc w:val="both"/>
              <w:rPr/>
            </w:pPr>
            <w:r>
              <w:rPr/>
              <w:t>issued by the Company against payment in full, of the consideration, in accordance with the terms set out in the Registration Statement Purchase Agreement, and Prospectus; and</w:t>
            </w:r>
          </w:p>
        </w:tc>
      </w:tr>
    </w:tbl>
    <w:tbl>
      <w:tblPr>
        <w:tblW w:w="5000" w:type="pct"/>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c)</w:t>
            </w:r>
          </w:p>
        </w:tc>
        <w:tc>
          <w:tcPr>
            <w:tcW w:w="9964" w:type="dxa"/>
            <w:tcBorders/>
            <w:vAlign w:val="center"/>
          </w:tcPr>
          <w:p>
            <w:pPr>
              <w:pStyle w:val="TableContents"/>
              <w:bidi w:val="0"/>
              <w:spacing w:before="0" w:after="283"/>
              <w:jc w:val="both"/>
              <w:rPr/>
            </w:pPr>
            <w:r>
              <w:rPr/>
              <w:t>in the case of the Ordinary Shares duly registered in the Company’s register of members (shareholders),</w:t>
            </w:r>
          </w:p>
        </w:tc>
      </w:tr>
    </w:tbl>
    <w:p>
      <w:pPr>
        <w:pStyle w:val="TextBody"/>
        <w:bidi w:val="0"/>
        <w:spacing w:before="0" w:after="200"/>
        <w:ind w:left="720" w:right="0" w:hanging="0"/>
        <w:jc w:val="both"/>
        <w:rPr>
          <w:sz w:val="20"/>
        </w:rPr>
      </w:pPr>
      <w:r>
        <w:rPr>
          <w:sz w:val="20"/>
        </w:rPr>
        <w:t>be validly authorised, issued, fully paid and non-assessable (meaning that no further sums are payable to the Company on such Ordinary Shares, Pre-Funded Warrants, and PA Warrants, and Ordinary Shares underlying the Pre-Funded Warrants and PA Warrants).</w:t>
      </w:r>
    </w:p>
    <w:tbl>
      <w:tblPr>
        <w:tblW w:w="5000" w:type="pct"/>
        <w:jc w:val="left"/>
        <w:tblInd w:w="0" w:type="dxa"/>
        <w:tblLayout w:type="fixed"/>
        <w:tblCellMar>
          <w:top w:w="0" w:type="dxa"/>
          <w:left w:w="0" w:type="dxa"/>
          <w:bottom w:w="0" w:type="dxa"/>
          <w:right w:w="0" w:type="dxa"/>
        </w:tblCellMar>
      </w:tblPr>
      <w:tblGrid>
        <w:gridCol w:w="232"/>
        <w:gridCol w:w="1223"/>
        <w:gridCol w:w="8750"/>
      </w:tblGrid>
      <w:tr>
        <w:trPr/>
        <w:tc>
          <w:tcPr>
            <w:tcW w:w="23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b/>
              </w:rPr>
            </w:pPr>
            <w:r>
              <w:rPr>
                <w:b/>
              </w:rPr>
              <w:t>4.</w:t>
            </w:r>
          </w:p>
        </w:tc>
        <w:tc>
          <w:tcPr>
            <w:tcW w:w="8750" w:type="dxa"/>
            <w:tcBorders/>
            <w:vAlign w:val="center"/>
          </w:tcPr>
          <w:p>
            <w:pPr>
              <w:pStyle w:val="TableContents"/>
              <w:bidi w:val="0"/>
              <w:spacing w:before="0" w:after="283"/>
              <w:jc w:val="left"/>
              <w:rPr>
                <w:b/>
              </w:rPr>
            </w:pPr>
            <w:r>
              <w:rPr>
                <w:b/>
              </w:rPr>
              <w:t>Qualifications</w:t>
            </w:r>
          </w:p>
        </w:tc>
      </w:tr>
    </w:tbl>
    <w:p>
      <w:pPr>
        <w:pStyle w:val="TextBody"/>
        <w:bidi w:val="0"/>
        <w:spacing w:before="0" w:after="200"/>
        <w:jc w:val="both"/>
        <w:rPr>
          <w:sz w:val="20"/>
        </w:rPr>
      </w:pPr>
      <w:r>
        <w:rPr>
          <w:sz w:val="20"/>
        </w:rPr>
        <w:t>The opinions expressed above are subject to the following qualifications:</w:t>
      </w:r>
    </w:p>
    <w:tbl>
      <w:tblPr>
        <w:tblW w:w="5000" w:type="pct"/>
        <w:jc w:val="left"/>
        <w:tblInd w:w="0" w:type="dxa"/>
        <w:tblLayout w:type="fixed"/>
        <w:tblCellMar>
          <w:top w:w="0" w:type="dxa"/>
          <w:left w:w="0" w:type="dxa"/>
          <w:bottom w:w="0" w:type="dxa"/>
          <w:right w:w="0" w:type="dxa"/>
        </w:tblCellMar>
      </w:tblPr>
      <w:tblGrid>
        <w:gridCol w:w="37"/>
        <w:gridCol w:w="358"/>
        <w:gridCol w:w="9810"/>
      </w:tblGrid>
      <w:tr>
        <w:trPr/>
        <w:tc>
          <w:tcPr>
            <w:tcW w:w="3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Pr>
            <w:r>
              <w:rPr/>
              <w:t>4.1.</w:t>
            </w:r>
          </w:p>
        </w:tc>
        <w:tc>
          <w:tcPr>
            <w:tcW w:w="9810" w:type="dxa"/>
            <w:tcBorders/>
            <w:vAlign w:val="center"/>
          </w:tcPr>
          <w:p>
            <w:pPr>
              <w:pStyle w:val="TableContents"/>
              <w:bidi w:val="0"/>
              <w:spacing w:before="0" w:after="283"/>
              <w:jc w:val="both"/>
              <w:rPr/>
            </w:pPr>
            <w:r>
              <w:rPr/>
              <w:t>To maintain the Company in good standing under the laws of the British Virgin Islands, annual filing fees must be paid to the Registry of Corporate Affairs.</w:t>
            </w:r>
          </w:p>
        </w:tc>
      </w:tr>
    </w:tbl>
    <w:tbl>
      <w:tblPr>
        <w:tblW w:w="5000" w:type="pct"/>
        <w:jc w:val="left"/>
        <w:tblInd w:w="0" w:type="dxa"/>
        <w:tblLayout w:type="fixed"/>
        <w:tblCellMar>
          <w:top w:w="0" w:type="dxa"/>
          <w:left w:w="0" w:type="dxa"/>
          <w:bottom w:w="0" w:type="dxa"/>
          <w:right w:w="0" w:type="dxa"/>
        </w:tblCellMar>
      </w:tblPr>
      <w:tblGrid>
        <w:gridCol w:w="37"/>
        <w:gridCol w:w="356"/>
        <w:gridCol w:w="9812"/>
      </w:tblGrid>
      <w:tr>
        <w:trPr/>
        <w:tc>
          <w:tcPr>
            <w:tcW w:w="3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pPr>
            <w:r>
              <w:rPr/>
              <w:t>4.2.</w:t>
            </w:r>
          </w:p>
        </w:tc>
        <w:tc>
          <w:tcPr>
            <w:tcW w:w="9812" w:type="dxa"/>
            <w:tcBorders/>
            <w:vAlign w:val="center"/>
          </w:tcPr>
          <w:p>
            <w:pPr>
              <w:pStyle w:val="TableContents"/>
              <w:bidi w:val="0"/>
              <w:spacing w:before="0" w:after="283"/>
              <w:jc w:val="both"/>
              <w:rPr/>
            </w:pPr>
            <w:r>
              <w:rPr/>
              <w:t>The obligations of the Company may be subject to restrictions pursuant to United Nations sanctions as implemented under the laws of the British Virgin Islands.</w:t>
            </w:r>
          </w:p>
        </w:tc>
      </w:tr>
    </w:tbl>
    <w:tbl>
      <w:tblPr>
        <w:tblW w:w="5000" w:type="pct"/>
        <w:jc w:val="left"/>
        <w:tblInd w:w="0" w:type="dxa"/>
        <w:tblLayout w:type="fixed"/>
        <w:tblCellMar>
          <w:top w:w="0" w:type="dxa"/>
          <w:left w:w="0" w:type="dxa"/>
          <w:bottom w:w="0" w:type="dxa"/>
          <w:right w:w="0" w:type="dxa"/>
        </w:tblCellMar>
      </w:tblPr>
      <w:tblGrid>
        <w:gridCol w:w="39"/>
        <w:gridCol w:w="392"/>
        <w:gridCol w:w="9774"/>
      </w:tblGrid>
      <w:tr>
        <w:trPr/>
        <w:tc>
          <w:tcPr>
            <w:tcW w:w="3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pPr>
            <w:r>
              <w:rPr/>
              <w:t>4.3.</w:t>
            </w:r>
          </w:p>
        </w:tc>
        <w:tc>
          <w:tcPr>
            <w:tcW w:w="9774" w:type="dxa"/>
            <w:tcBorders/>
            <w:vAlign w:val="center"/>
          </w:tcPr>
          <w:p>
            <w:pPr>
              <w:pStyle w:val="TableContents"/>
              <w:bidi w:val="0"/>
              <w:spacing w:before="0" w:after="283"/>
              <w:jc w:val="both"/>
              <w:rPr/>
            </w:pPr>
            <w:r>
              <w:rPr/>
              <w:t>We make no comment with regard to the references to foreign statutes in the Registration Statement.</w:t>
            </w:r>
          </w:p>
        </w:tc>
      </w:tr>
    </w:tbl>
    <w:tbl>
      <w:tblPr>
        <w:tblW w:w="5000" w:type="pct"/>
        <w:jc w:val="left"/>
        <w:tblInd w:w="0" w:type="dxa"/>
        <w:tblLayout w:type="fixed"/>
        <w:tblCellMar>
          <w:top w:w="0" w:type="dxa"/>
          <w:left w:w="0" w:type="dxa"/>
          <w:bottom w:w="0" w:type="dxa"/>
          <w:right w:w="0" w:type="dxa"/>
        </w:tblCellMar>
      </w:tblPr>
      <w:tblGrid>
        <w:gridCol w:w="37"/>
        <w:gridCol w:w="344"/>
        <w:gridCol w:w="9824"/>
      </w:tblGrid>
      <w:tr>
        <w:trPr/>
        <w:tc>
          <w:tcPr>
            <w:tcW w:w="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4.4.</w:t>
            </w:r>
          </w:p>
        </w:tc>
        <w:tc>
          <w:tcPr>
            <w:tcW w:w="9824" w:type="dxa"/>
            <w:tcBorders/>
            <w:vAlign w:val="center"/>
          </w:tcPr>
          <w:p>
            <w:pPr>
              <w:pStyle w:val="TableContents"/>
              <w:bidi w:val="0"/>
              <w:spacing w:before="0" w:after="283"/>
              <w:jc w:val="both"/>
              <w:rPr/>
            </w:pPr>
            <w:r>
              <w:rPr/>
              <w:t>This opinion is given only as to, and based on, circumstances and matters of fact existing and known to us on the date of this opinion. This opinion only relates to the laws of the British Virgin Islands which are in force on the date of this opinion.</w:t>
            </w:r>
          </w:p>
        </w:tc>
      </w:tr>
    </w:tbl>
    <w:tbl>
      <w:tblPr>
        <w:tblW w:w="1250" w:type="dxa"/>
        <w:jc w:val="left"/>
        <w:tblInd w:w="0" w:type="dxa"/>
        <w:tblLayout w:type="fixed"/>
        <w:tblCellMar>
          <w:top w:w="0" w:type="dxa"/>
          <w:left w:w="0" w:type="dxa"/>
          <w:bottom w:w="0" w:type="dxa"/>
          <w:right w:w="0" w:type="dxa"/>
        </w:tblCellMar>
      </w:tblPr>
      <w:tblGrid>
        <w:gridCol w:w="75"/>
        <w:gridCol w:w="60"/>
        <w:gridCol w:w="111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115" w:type="dxa"/>
            <w:tcBorders/>
            <w:vAlign w:val="center"/>
          </w:tcPr>
          <w:p>
            <w:pPr>
              <w:pStyle w:val="TableContents"/>
              <w:bidi w:val="0"/>
              <w:spacing w:before="0" w:after="283"/>
              <w:jc w:val="right"/>
              <w:rPr/>
            </w:pPr>
            <w:r>
              <w:rPr/>
              <w:t>Page 4 of 5</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22"/>
        <w:gridCol w:w="1696"/>
        <w:gridCol w:w="8187"/>
      </w:tblGrid>
      <w:tr>
        <w:trPr/>
        <w:tc>
          <w:tcPr>
            <w:tcW w:w="322"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b/>
              </w:rPr>
            </w:pPr>
            <w:r>
              <w:rPr>
                <w:b/>
              </w:rPr>
              <w:t>5.</w:t>
            </w:r>
          </w:p>
        </w:tc>
        <w:tc>
          <w:tcPr>
            <w:tcW w:w="8187" w:type="dxa"/>
            <w:tcBorders/>
            <w:vAlign w:val="center"/>
          </w:tcPr>
          <w:p>
            <w:pPr>
              <w:pStyle w:val="TableContents"/>
              <w:bidi w:val="0"/>
              <w:spacing w:before="0" w:after="283"/>
              <w:jc w:val="left"/>
              <w:rPr>
                <w:b/>
              </w:rPr>
            </w:pPr>
            <w:r>
              <w:rPr>
                <w:b/>
              </w:rPr>
              <w:t>Consents</w:t>
            </w:r>
          </w:p>
        </w:tc>
      </w:tr>
    </w:tbl>
    <w:p>
      <w:pPr>
        <w:pStyle w:val="TextBody"/>
        <w:bidi w:val="0"/>
        <w:spacing w:before="0" w:after="200"/>
        <w:jc w:val="both"/>
        <w:rPr>
          <w:sz w:val="20"/>
        </w:rPr>
      </w:pPr>
      <w:r>
        <w:rPr>
          <w:sz w:val="20"/>
        </w:rPr>
        <w:t>In connection with the above opinion, we hereby consent to (i) the use of our name in the Registration Statement, the prospectus constituting a part thereof and all amendments thereto under the caption “Legal Matters” and (ii) to the filing of this opinion as Exhibit 5.1 to the Registration Statement.</w:t>
      </w:r>
    </w:p>
    <w:p>
      <w:pPr>
        <w:pStyle w:val="TextBody"/>
        <w:bidi w:val="0"/>
        <w:jc w:val="both"/>
        <w:rPr>
          <w:sz w:val="20"/>
        </w:rPr>
      </w:pPr>
      <w:r>
        <w:rPr>
          <w:sz w:val="20"/>
        </w:rPr>
        <w:t>This opinion may be relied upon by the addressee only. It may not be relied upon by any other person except with our prior written consent.</w:t>
      </w:r>
    </w:p>
    <w:p>
      <w:pPr>
        <w:pStyle w:val="TextBody"/>
        <w:bidi w:val="0"/>
        <w:jc w:val="both"/>
        <w:rPr/>
      </w:pPr>
      <w:r>
        <w:rPr/>
        <w:t> </w:t>
      </w:r>
    </w:p>
    <w:p>
      <w:pPr>
        <w:pStyle w:val="TextBody"/>
        <w:bidi w:val="0"/>
        <w:jc w:val="both"/>
        <w:rPr>
          <w:sz w:val="20"/>
        </w:rPr>
      </w:pPr>
      <w:r>
        <w:rPr>
          <w:sz w:val="20"/>
        </w:rPr>
        <w:t>This opinion is limited to the matters detailed herein and is not to be read as an opinion with respect to any other matter.</w:t>
      </w:r>
    </w:p>
    <w:p>
      <w:pPr>
        <w:pStyle w:val="TextBody"/>
        <w:bidi w:val="0"/>
        <w:spacing w:before="0" w:after="200"/>
        <w:jc w:val="both"/>
        <w:rPr/>
      </w:pPr>
      <w:r>
        <w:rPr/>
        <w:t> </w:t>
      </w:r>
    </w:p>
    <w:p>
      <w:pPr>
        <w:pStyle w:val="TextBody"/>
        <w:bidi w:val="0"/>
        <w:jc w:val="both"/>
        <w:rPr>
          <w:sz w:val="20"/>
        </w:rPr>
      </w:pPr>
      <w:r>
        <w:rPr>
          <w:sz w:val="20"/>
        </w:rPr>
        <w:t>Yours faithfully</w:t>
      </w:r>
    </w:p>
    <w:p>
      <w:pPr>
        <w:pStyle w:val="TextBody"/>
        <w:bidi w:val="0"/>
        <w:jc w:val="both"/>
        <w:rPr/>
      </w:pPr>
      <w:r>
        <w:rPr/>
        <w:t> </w:t>
      </w:r>
    </w:p>
    <w:p>
      <w:pPr>
        <w:pStyle w:val="TextBody"/>
        <w:bidi w:val="0"/>
        <w:jc w:val="both"/>
        <w:rPr>
          <w:sz w:val="20"/>
        </w:rPr>
      </w:pPr>
      <w:r>
        <w:rPr>
          <w:sz w:val="20"/>
        </w:rPr>
        <w:t>/s/ Forbes Hare LLP</w:t>
      </w:r>
    </w:p>
    <w:p>
      <w:pPr>
        <w:pStyle w:val="TextBody"/>
        <w:bidi w:val="0"/>
        <w:jc w:val="both"/>
        <w:rPr/>
      </w:pPr>
      <w:r>
        <w:rPr/>
        <w:t> </w:t>
      </w:r>
    </w:p>
    <w:p>
      <w:pPr>
        <w:pStyle w:val="TextBody"/>
        <w:bidi w:val="0"/>
        <w:spacing w:before="0" w:after="200"/>
        <w:jc w:val="left"/>
        <w:rPr>
          <w:sz w:val="20"/>
        </w:rPr>
      </w:pPr>
      <w:r>
        <w:rPr>
          <w:sz w:val="20"/>
        </w:rPr>
        <w:t>Forbes Hare LLP</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0"/>
        <w:ind w:left="0" w:right="0" w:hanging="0"/>
        <w:jc w:val="right"/>
        <w:rPr>
          <w:sz w:val="20"/>
        </w:rPr>
      </w:pPr>
      <w:r>
        <w:rPr>
          <w:sz w:val="20"/>
        </w:rPr>
        <w:t>Page 5 of 5</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right"/>
        <w:rPr>
          <w:b/>
        </w:rPr>
      </w:pPr>
      <w:bookmarkStart w:id="5" w:name="a_004"/>
      <w:bookmarkEnd w:id="5"/>
      <w:r>
        <w:rPr>
          <w:b/>
        </w:rPr>
        <w:t>Exhibit 10.1</w:t>
      </w:r>
    </w:p>
    <w:p>
      <w:pPr>
        <w:pStyle w:val="TextBody"/>
        <w:bidi w:val="0"/>
        <w:spacing w:before="0" w:after="283"/>
        <w:jc w:val="left"/>
        <w:rPr/>
      </w:pPr>
      <w:r>
        <w:rPr/>
        <w:t> </w:t>
      </w:r>
    </w:p>
    <w:p>
      <w:pPr>
        <w:pStyle w:val="TextBody"/>
        <w:bidi w:val="0"/>
        <w:spacing w:before="0" w:after="0"/>
        <w:ind w:left="720" w:right="0" w:hanging="720"/>
        <w:jc w:val="center"/>
        <w:rPr>
          <w:b/>
          <w:caps/>
          <w:sz w:val="20"/>
        </w:rPr>
      </w:pPr>
      <w:r>
        <w:rPr>
          <w:b/>
          <w:caps/>
          <w:sz w:val="20"/>
        </w:rPr>
        <w:t>SECURITIES PURCHASE AGREEMENT</w:t>
      </w:r>
    </w:p>
    <w:p>
      <w:pPr>
        <w:pStyle w:val="TextBody"/>
        <w:bidi w:val="0"/>
        <w:spacing w:before="0" w:after="0"/>
        <w:ind w:left="720" w:right="0" w:hanging="720"/>
        <w:jc w:val="center"/>
        <w:rPr>
          <w:caps/>
        </w:rPr>
      </w:pPr>
      <w:r>
        <w:rPr>
          <w:caps/>
        </w:rPr>
        <w:t> </w:t>
      </w:r>
    </w:p>
    <w:p>
      <w:pPr>
        <w:pStyle w:val="TextBody"/>
        <w:bidi w:val="0"/>
        <w:spacing w:before="0" w:after="0"/>
        <w:ind w:left="0" w:right="0" w:firstLine="720"/>
        <w:jc w:val="both"/>
        <w:rPr>
          <w:sz w:val="20"/>
        </w:rPr>
      </w:pPr>
      <w:r>
        <w:rPr>
          <w:sz w:val="20"/>
        </w:rPr>
        <w:t>This Securities Purchase Agreement (this “</w:t>
      </w:r>
      <w:r>
        <w:rPr>
          <w:sz w:val="20"/>
          <w:u w:val="single"/>
        </w:rPr>
        <w:t>Agreement</w:t>
      </w:r>
      <w:r>
        <w:rPr>
          <w:sz w:val="20"/>
        </w:rPr>
        <w:t>”) is dated as of January 13, 2026, between AlphaTON Capital Corp, a British Virgin Islands company (the “</w:t>
      </w:r>
      <w:r>
        <w:rPr>
          <w:sz w:val="20"/>
          <w:u w:val="single"/>
        </w:rPr>
        <w:t>Company</w:t>
      </w:r>
      <w:r>
        <w:rPr>
          <w:sz w:val="20"/>
        </w:rPr>
        <w:t>”), and each purchaser identified on the signature pages hereto (each, including its successors and assigns, a “</w:t>
      </w:r>
      <w:r>
        <w:rPr>
          <w:sz w:val="20"/>
          <w:u w:val="single"/>
        </w:rPr>
        <w:t>Purchaser</w:t>
      </w:r>
      <w:r>
        <w:rPr>
          <w:sz w:val="20"/>
        </w:rPr>
        <w:t>” and collectively the “</w:t>
      </w:r>
      <w:r>
        <w:rPr>
          <w:sz w:val="20"/>
          <w:u w:val="single"/>
        </w:rPr>
        <w:t>Purchasers</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spacing w:before="0" w:after="0"/>
        <w:ind w:left="0" w:right="0" w:firstLine="720"/>
        <w:jc w:val="both"/>
        <w:rPr/>
      </w:pPr>
      <w:r>
        <w:rPr/>
        <w:t> </w:t>
      </w:r>
    </w:p>
    <w:p>
      <w:pPr>
        <w:pStyle w:val="TextBody"/>
        <w:bidi w:val="0"/>
        <w:spacing w:before="0" w:after="0"/>
        <w:ind w:left="0" w:right="0" w:hanging="0"/>
        <w:jc w:val="center"/>
        <w:rPr>
          <w:sz w:val="20"/>
        </w:rPr>
      </w:pPr>
      <w:r>
        <w:rPr>
          <w:b/>
          <w:sz w:val="20"/>
        </w:rPr>
        <w:t>ARTICLE I.</w:t>
      </w:r>
      <w:r>
        <w:rPr>
          <w:sz w:val="20"/>
        </w:rPr>
        <w:br/>
        <w:t>DEFINITIONS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1.1              </w:t>
      </w:r>
      <w:r>
        <w:rPr>
          <w:sz w:val="20"/>
          <w:u w:val="single"/>
        </w:rPr>
        <w:t>Definitions</w:t>
      </w:r>
      <w:r>
        <w:rPr>
          <w:sz w:val="20"/>
        </w:rPr>
        <w:t>. In addition to the terms defined elsewhere in this Agreement, for all purposes of this Agreement, the following terms have the meanings set forth in this Section 1.1:</w:t>
      </w:r>
    </w:p>
    <w:p>
      <w:pPr>
        <w:pStyle w:val="TextBody"/>
        <w:bidi w:val="0"/>
        <w:spacing w:before="0" w:after="0"/>
        <w:ind w:left="0" w:right="0" w:firstLine="720"/>
        <w:jc w:val="both"/>
        <w:rPr/>
      </w:pPr>
      <w:r>
        <w:rPr/>
        <w:t> </w:t>
      </w:r>
    </w:p>
    <w:p>
      <w:pPr>
        <w:pStyle w:val="TextBody"/>
        <w:bidi w:val="0"/>
        <w:spacing w:before="0" w:after="0"/>
        <w:ind w:left="0" w:right="0" w:firstLine="1440"/>
        <w:jc w:val="both"/>
        <w:rPr/>
      </w:pPr>
      <w:r>
        <w:rPr/>
        <w:t>“</w:t>
      </w:r>
      <w:r>
        <w:rPr>
          <w:sz w:val="20"/>
          <w:u w:val="single"/>
        </w:rPr>
        <w:t>Acquiring Person</w:t>
      </w:r>
      <w:r>
        <w:rPr>
          <w:sz w:val="20"/>
        </w:rPr>
        <w:t>” shall have the meaning ascribed to such term in Section 4.5.</w:t>
      </w:r>
    </w:p>
    <w:p>
      <w:pPr>
        <w:pStyle w:val="TextBody"/>
        <w:bidi w:val="0"/>
        <w:spacing w:before="0" w:after="0"/>
        <w:ind w:left="0" w:right="0" w:firstLine="1440"/>
        <w:jc w:val="both"/>
        <w:rPr/>
      </w:pPr>
      <w:r>
        <w:rPr/>
        <w:t> </w:t>
      </w:r>
    </w:p>
    <w:p>
      <w:pPr>
        <w:pStyle w:val="TextBody"/>
        <w:bidi w:val="0"/>
        <w:spacing w:before="0" w:after="0"/>
        <w:ind w:left="720" w:right="0" w:firstLine="720"/>
        <w:jc w:val="both"/>
        <w:rPr/>
      </w:pPr>
      <w:r>
        <w:rPr/>
        <w:t>“</w:t>
      </w:r>
      <w:r>
        <w:rPr>
          <w:sz w:val="20"/>
          <w:u w:val="single"/>
        </w:rPr>
        <w:t>Action</w:t>
      </w:r>
      <w:r>
        <w:rPr>
          <w:sz w:val="20"/>
        </w:rPr>
        <w:t>” shall have the meaning ascribed to such term in Section 3.1(j).</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Affiliate</w:t>
      </w:r>
      <w:r>
        <w:rPr>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Board of Directors</w:t>
      </w:r>
      <w:r>
        <w:rPr>
          <w:sz w:val="20"/>
        </w:rPr>
        <w:t>” means the board of directors of the Company.</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Business Day</w:t>
      </w:r>
      <w:r>
        <w:rPr>
          <w:sz w:val="20"/>
        </w:rPr>
        <w:t xml:space="preserve">” means any day other than Saturday, Sunday or other day on which commercial banks in The City of New York are authorized or required by law to remain closed; </w:t>
      </w:r>
      <w:r>
        <w:rPr>
          <w:sz w:val="20"/>
          <w:u w:val="single"/>
        </w:rPr>
        <w:t>provided</w:t>
      </w:r>
      <w:r>
        <w:rPr>
          <w:sz w:val="20"/>
        </w:rPr>
        <w:t xml:space="preserve">, </w:t>
      </w:r>
      <w:r>
        <w:rPr>
          <w:sz w:val="20"/>
          <w:u w:val="single"/>
        </w:rPr>
        <w:t>however</w:t>
      </w:r>
      <w:r>
        <w:rPr>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Closing</w:t>
      </w:r>
      <w:r>
        <w:rPr>
          <w:sz w:val="20"/>
        </w:rPr>
        <w:t>” means the closing of the purchase and sale of the Securities pursuant to Section 2.1.</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Closing Date</w:t>
      </w:r>
      <w:r>
        <w:rPr>
          <w:sz w:val="20"/>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first (1st) Trading Day following the date hereof (or the second (2</w:t>
      </w:r>
      <w:r>
        <w:rPr>
          <w:position w:val="7"/>
          <w:sz w:val="16"/>
          <w:sz w:val="20"/>
        </w:rPr>
        <w:t>nd</w:t>
      </w:r>
      <w:r>
        <w:rPr>
          <w:sz w:val="20"/>
        </w:rPr>
        <w:t>) Trading Day following the date hereof if this Agreement is signed on a day that is not a Trading Day or after 4:00 p.m. (New York City time) and before midnight (New York City time) on a Trading Day).</w:t>
      </w:r>
    </w:p>
    <w:p>
      <w:pPr>
        <w:pStyle w:val="TextBody"/>
        <w:bidi w:val="0"/>
        <w:spacing w:before="0" w:after="0"/>
        <w:ind w:left="72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pPr>
      <w:r>
        <w:rPr/>
        <w:t>“</w:t>
      </w:r>
      <w:r>
        <w:rPr>
          <w:sz w:val="20"/>
          <w:u w:val="single"/>
        </w:rPr>
        <w:t>Commission</w:t>
      </w:r>
      <w:r>
        <w:rPr>
          <w:sz w:val="20"/>
        </w:rPr>
        <w:t>” means the United States Securities and Exchange Commission.</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Company BVI Counsel</w:t>
      </w:r>
      <w:r>
        <w:rPr>
          <w:sz w:val="20"/>
        </w:rPr>
        <w:t>” means Forbes Hare LLP, with offices located at 5 King’s Bench Walk, Temple, London, EC4Y 7DN United Kingdom.</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Company US Counsel</w:t>
      </w:r>
      <w:r>
        <w:rPr>
          <w:sz w:val="20"/>
        </w:rPr>
        <w:t>” means Hogan Lovells US LLP, with offices located at 1735 Market Street, 23rd Floor, Philadelphia, PA 19103.</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Disclosure Time</w:t>
      </w:r>
      <w:r>
        <w:rPr>
          <w:sz w:val="20"/>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EGS</w:t>
      </w:r>
      <w:r>
        <w:rPr>
          <w:sz w:val="20"/>
        </w:rPr>
        <w:t>” means Ellenoff Grossman &amp; Schole LLP, with offices located at 1345 Avenue of the Americas, New York, New York 10105-0302.</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Evaluation Date</w:t>
      </w:r>
      <w:r>
        <w:rPr>
          <w:sz w:val="20"/>
        </w:rPr>
        <w:t>” shall have the meaning ascribed to such term in Section 3.1(s).</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Exchange Act</w:t>
      </w:r>
      <w:r>
        <w:rPr>
          <w:sz w:val="20"/>
        </w:rPr>
        <w:t>” means the Securities Exchange Act of 1934, as amended, and the rules and regulations promulgated thereunder.</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Exempt Issuance</w:t>
      </w:r>
      <w:r>
        <w:rPr>
          <w:sz w:val="20"/>
        </w:rPr>
        <w:t>” means the issuance of (a) Ordinary Shares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warrants to the Placement Agent in connection with the transactions pursuant to this Agreement and any securities upon exercise of warrants to the Placement Agent and/or other securities exercisable or exchangeable for or convertible into Ordinary Shares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4.11(a)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pStyle w:val="TextBody"/>
        <w:bidi w:val="0"/>
        <w:spacing w:before="0" w:after="0"/>
        <w:ind w:left="72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pPr>
      <w:r>
        <w:rPr/>
        <w:t>“</w:t>
      </w:r>
      <w:r>
        <w:rPr>
          <w:sz w:val="20"/>
          <w:u w:val="single"/>
        </w:rPr>
        <w:t>FCPA</w:t>
      </w:r>
      <w:r>
        <w:rPr>
          <w:sz w:val="20"/>
        </w:rPr>
        <w:t>” means the Foreign Corrupt Practices Act of 1977, as amended.</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FDA</w:t>
      </w:r>
      <w:r>
        <w:rPr>
          <w:sz w:val="20"/>
        </w:rPr>
        <w:t>” shall have the meaning ascribed to such term in Section 3.1(hh).</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FDCA</w:t>
      </w:r>
      <w:r>
        <w:rPr>
          <w:sz w:val="20"/>
        </w:rPr>
        <w:t>” shall have the meaning ascribed to such term in Section 3.1(hh).</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IFRS</w:t>
      </w:r>
      <w:r>
        <w:rPr>
          <w:sz w:val="20"/>
        </w:rPr>
        <w:t>” shall have the meaning ascribed to such term in Section 3.1(h).</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Indebtedness</w:t>
      </w:r>
      <w:r>
        <w:rPr>
          <w:sz w:val="20"/>
        </w:rPr>
        <w:t>” shall have the meaning ascribed to such term in Section 3.1(aa).</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Intellectual Property Rights</w:t>
      </w:r>
      <w:r>
        <w:rPr>
          <w:sz w:val="20"/>
        </w:rPr>
        <w:t>” shall have the meaning ascribed to such term in Section 3.1(p).</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Liens</w:t>
      </w:r>
      <w:r>
        <w:rPr>
          <w:sz w:val="20"/>
        </w:rPr>
        <w:t>” means a lien, charge, pledge, security interest, encumbrance, right of first refusal, preemptive right or other restriction.</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Material Adverse Effect</w:t>
      </w:r>
      <w:r>
        <w:rPr>
          <w:sz w:val="20"/>
        </w:rPr>
        <w:t>” shall have the meaning assigned to such term in Section 3.1(b).</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Material Permits</w:t>
      </w:r>
      <w:r>
        <w:rPr>
          <w:sz w:val="20"/>
        </w:rPr>
        <w:t>” shall have the meaning ascribed to such term in Section 3.1(n).</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Ordinary Shares</w:t>
      </w:r>
      <w:r>
        <w:rPr>
          <w:sz w:val="20"/>
        </w:rPr>
        <w:t>” means the ordinary shares of the Company, no par value per share, and any other class of securities into which such securities may hereafter be reclassified or changed.</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Ordinary Share Equivalents</w:t>
      </w:r>
      <w:r>
        <w:rPr>
          <w:sz w:val="20"/>
        </w:rPr>
        <w:t>” means any securities of the Company or the Subsidiaries which would entitle the holder thereof to acquire at any time Ordinary Shares, including, without limitation, any debt, preferred stock, right, option, warrant or other instrument that is at any time convertible into or exercisable or exchangeable for, or otherwise entitles the holder thereof to receive, Ordinary Shares.</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Per Share Purchase Price</w:t>
      </w:r>
      <w:r>
        <w:rPr>
          <w:sz w:val="20"/>
        </w:rPr>
        <w:t>” equals $1.00, subject to adjustment for reverse and forward share sub-divisions, share capitalizations, share consolidations and other similar transactions of the Ordinary Shares that occur after the date of this Agreement, provided that the purchase price per Pre-Funded Warrant shall be the Per Share Purchase Price minus $0.0001.</w:t>
      </w:r>
    </w:p>
    <w:p>
      <w:pPr>
        <w:pStyle w:val="TextBody"/>
        <w:bidi w:val="0"/>
        <w:spacing w:before="0" w:after="0"/>
        <w:ind w:left="72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pPr>
      <w:r>
        <w:rPr/>
        <w:t>“</w:t>
      </w:r>
      <w:r>
        <w:rPr>
          <w:sz w:val="20"/>
          <w:u w:val="single"/>
        </w:rPr>
        <w:t>Person</w:t>
      </w:r>
      <w:r>
        <w:rPr>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Pharmaceutical Product</w:t>
      </w:r>
      <w:r>
        <w:rPr>
          <w:sz w:val="20"/>
        </w:rPr>
        <w:t>” shall have the meaning ascribed to such term in Section 3.1(hh).</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Placement Agent</w:t>
      </w:r>
      <w:r>
        <w:rPr>
          <w:sz w:val="20"/>
        </w:rPr>
        <w:t>” means H.C. Wainwright &amp; Co., LLC.</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Pre-Funded Warrant</w:t>
      </w:r>
      <w:r>
        <w:rPr>
          <w:sz w:val="20"/>
        </w:rPr>
        <w:t xml:space="preserve">” means, collectively, the Pre-Funded Ordinary Share purchase warrants delivered to the Purchasers at the Closing in accordance with Section 2.2(a) hereof, which Pre-Funded Warrants shall be exercisable immediately and shall expire when exercised in full, in the form of </w:t>
      </w:r>
      <w:r>
        <w:rPr>
          <w:sz w:val="20"/>
          <w:u w:val="single"/>
        </w:rPr>
        <w:t>Exhibit A-2</w:t>
      </w:r>
      <w:r>
        <w:rPr>
          <w:sz w:val="20"/>
        </w:rPr>
        <w:t xml:space="preserve"> attached hereto.</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Proceeding</w:t>
      </w:r>
      <w:r>
        <w:rPr>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Prospectus</w:t>
      </w:r>
      <w:r>
        <w:rPr>
          <w:sz w:val="20"/>
        </w:rPr>
        <w:t>” means the final prospectus filed for the Registration Statement.</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Prospectus Supplement</w:t>
      </w:r>
      <w:r>
        <w:rPr>
          <w:sz w:val="20"/>
        </w:rPr>
        <w:t>” means the supplement to the Prospectus complying with Rule 424(b) of the Securities Act that is filed with the Commission and delivered by the Company to each Purchaser at the Closing.</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Purchaser Party</w:t>
      </w:r>
      <w:r>
        <w:rPr>
          <w:sz w:val="20"/>
        </w:rPr>
        <w:t>” shall have the meaning ascribed to such term in Section 4.8.</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Registration Statement</w:t>
      </w:r>
      <w:r>
        <w:rPr>
          <w:sz w:val="20"/>
        </w:rPr>
        <w:t>” means the effective registration statement with Commission file No. 333-291921 which registers the sale of the Shares, the Warrants and the Warrant Shares to the Purchasers.</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Required Approvals</w:t>
      </w:r>
      <w:r>
        <w:rPr>
          <w:sz w:val="20"/>
        </w:rPr>
        <w:t>” shall have the meaning ascribed to such term in Section 3.1(e).</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Rule 144</w:t>
      </w:r>
      <w:r>
        <w:rPr>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Rule 424</w:t>
      </w:r>
      <w:r>
        <w:rPr>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SEC Reports</w:t>
      </w:r>
      <w:r>
        <w:rPr>
          <w:sz w:val="20"/>
        </w:rPr>
        <w:t>” shall have the meaning ascribed to such term in Section 3.1(h).</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Securities</w:t>
      </w:r>
      <w:r>
        <w:rPr>
          <w:sz w:val="20"/>
        </w:rPr>
        <w:t>” means the Shares, the Warrants and the Warrant Shares.</w:t>
      </w:r>
    </w:p>
    <w:p>
      <w:pPr>
        <w:pStyle w:val="TextBody"/>
        <w:bidi w:val="0"/>
        <w:spacing w:before="0" w:after="0"/>
        <w:ind w:left="72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pPr>
      <w:r>
        <w:rPr/>
        <w:t>“</w:t>
      </w:r>
      <w:r>
        <w:rPr>
          <w:sz w:val="20"/>
          <w:u w:val="single"/>
        </w:rPr>
        <w:t>Securities Act</w:t>
      </w:r>
      <w:r>
        <w:rPr>
          <w:sz w:val="20"/>
        </w:rPr>
        <w:t>” means the Securities Act of 1933, as amended, and the rules and regulations promulgated thereunder.</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Shares</w:t>
      </w:r>
      <w:r>
        <w:rPr>
          <w:sz w:val="20"/>
        </w:rPr>
        <w:t>” means the Ordinary Shares issued or issuable to each Purchaser pursuant to this Agreement.</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Short Sales</w:t>
      </w:r>
      <w:r>
        <w:rPr>
          <w:sz w:val="20"/>
        </w:rPr>
        <w:t>” means all “short sales” as defined in Rule 200 of Regulation SHO under the Exchange Act (but shall not be deemed to include locating and/or borrowing Ordinary Shares). </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Subscription Amount</w:t>
      </w:r>
      <w:r>
        <w:rPr>
          <w:sz w:val="20"/>
        </w:rPr>
        <w:t>” means, as to each Purchaser, the aggregate amount to be paid for Shares and Warrants purchased hereunder as specified below such Purchaser’s name on the signature page of this Agreement and next to the heading “Subscription Amount,” in United States dollars and in immediately available funds (minus, if applicable, a Purchaser’s aggregate exercise price of the Pre-Funded Warrants, which amounts shall be paid as and when such Pre-Funded Warrants are exercised).</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Subsidiary</w:t>
      </w:r>
      <w:r>
        <w:rPr>
          <w:sz w:val="20"/>
        </w:rPr>
        <w:t>” means any subsidiary of the Company as set forth in the SEC Reports, and shall, where applicable, also include any direct or indirect subsidiary of the Company formed or acquired after the date hereof.</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Trading Day</w:t>
      </w:r>
      <w:r>
        <w:rPr>
          <w:sz w:val="20"/>
        </w:rPr>
        <w:t>” means a day on which the principal Trading Market is open for trading.</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Trading Market</w:t>
      </w:r>
      <w:r>
        <w:rPr>
          <w:sz w:val="20"/>
        </w:rPr>
        <w:t>” means any of the following markets or exchanges on which the Ordinary Shares are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Transaction Documents</w:t>
      </w:r>
      <w:r>
        <w:rPr>
          <w:sz w:val="20"/>
        </w:rPr>
        <w:t>” means this Agreement, the Warrants, all exhibits and schedules thereto and hereto and any other documents or agreements executed in connection with the transactions contemplated hereunder.</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Transfer Agent</w:t>
      </w:r>
      <w:r>
        <w:rPr>
          <w:sz w:val="20"/>
        </w:rPr>
        <w:t>” means TSX Trust Company, the current transfer agent of the Company, and any successor transfer agent of the Company.</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Variable Rate Transaction</w:t>
      </w:r>
      <w:r>
        <w:rPr>
          <w:sz w:val="20"/>
        </w:rPr>
        <w:t>” shall have the meaning ascribed to such term in Section 4.11(b).</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Warrants</w:t>
      </w:r>
      <w:r>
        <w:rPr>
          <w:sz w:val="20"/>
        </w:rPr>
        <w:t>” means, collectively, the Pre-Funded Warrants.</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w:t>
      </w:r>
      <w:r>
        <w:rPr>
          <w:sz w:val="20"/>
          <w:u w:val="single"/>
        </w:rPr>
        <w:t>Warrant Shares</w:t>
      </w:r>
      <w:r>
        <w:rPr>
          <w:sz w:val="20"/>
        </w:rPr>
        <w:t>” means the Ordinary Shares issuable upon exercise of the Warrants.</w:t>
      </w:r>
    </w:p>
    <w:p>
      <w:pPr>
        <w:pStyle w:val="TextBody"/>
        <w:bidi w:val="0"/>
        <w:spacing w:before="0" w:after="0"/>
        <w:ind w:left="72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sz w:val="20"/>
        </w:rPr>
      </w:pPr>
      <w:r>
        <w:rPr>
          <w:b/>
          <w:sz w:val="20"/>
        </w:rPr>
        <w:t>ARTICLE II.</w:t>
      </w:r>
      <w:r>
        <w:rPr>
          <w:sz w:val="20"/>
        </w:rPr>
        <w:br/>
        <w:t>PURCHASE AND SALE</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2.1              </w:t>
      </w:r>
      <w:r>
        <w:rPr>
          <w:sz w:val="20"/>
          <w:u w:val="single"/>
        </w:rPr>
        <w:t>Closing</w:t>
      </w:r>
      <w:r>
        <w:rPr>
          <w:sz w:val="20"/>
        </w:rPr>
        <w:t xml:space="preserve">. On the Closing Date, upon the terms and subject to the conditions set forth herein, the Company agrees to sell, and the Purchasers, severally and not jointly, agree to purchase, up to an aggregate of $15,000,000 of Shares; </w:t>
      </w:r>
      <w:r>
        <w:rPr>
          <w:sz w:val="20"/>
          <w:u w:val="single"/>
        </w:rPr>
        <w:t>provided</w:t>
      </w:r>
      <w:r>
        <w:rPr>
          <w:sz w:val="20"/>
        </w:rPr>
        <w:t xml:space="preserve">, </w:t>
      </w:r>
      <w:r>
        <w:rPr>
          <w:sz w:val="20"/>
          <w:u w:val="single"/>
        </w:rPr>
        <w:t>howeve</w:t>
      </w:r>
      <w:r>
        <w:rPr>
          <w:sz w:val="20"/>
        </w:rPr>
        <w:t>r, that, to the extent that a Purchaser determines, in its sole discretion, that such Purchaser (together with such Purchaser’s Affiliates, and any Person acting as a group together with such Purchaser or any of such Purchaser’s Affiliates) would beneficially own in excess of the Beneficial Ownership Limitation, or as such Purchaser may otherwise choose, in lieu of purchasing Shares such Purchaser may elect to purchase Pre-Funded Warrants in lieu of Shares in such manner to result in the same aggregate purchase price being paid by such Purchaser to the Company. The “</w:t>
      </w:r>
      <w:r>
        <w:rPr>
          <w:sz w:val="20"/>
          <w:u w:val="single"/>
        </w:rPr>
        <w:t>Beneficial Ownership Limitation</w:t>
      </w:r>
      <w:r>
        <w:rPr>
          <w:sz w:val="20"/>
        </w:rPr>
        <w:t>” shall be 4.99% (or, at the election of the Purchaser at Closing, 9.99%) of the number of Ordinary Shares outstanding immediately after giving effect to the issuance of the Securities on the Closing Date. Each Purchaser’s Subscription Amount as set forth on the signature page hereto executed by such Purchaser shall be made available for “Delivery Versus Payment” settlement with the Company or its designee. The Company shall deliver to each Purchaser its respective Shares and Warrants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Unless otherwise directed by the Placement Agent, settlement of the Shares shall occur via “Delivery Versus Payment” (“</w:t>
      </w:r>
      <w:r>
        <w:rPr>
          <w:sz w:val="20"/>
          <w:u w:val="single"/>
        </w:rPr>
        <w:t>DVP</w:t>
      </w:r>
      <w:r>
        <w:rPr>
          <w:sz w:val="20"/>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anything herein to the contrary, if at any time on or after the time of execution of this Agreement by the Company and an applicable Purchaser, through, and including the time immediately prior to the Closing (the “</w:t>
      </w:r>
      <w:r>
        <w:rPr>
          <w:sz w:val="20"/>
          <w:u w:val="single"/>
        </w:rPr>
        <w:t>Pre-Settlement Period</w:t>
      </w:r>
      <w:r>
        <w:rPr>
          <w:sz w:val="20"/>
        </w:rPr>
        <w:t>”), such Purchaser sells to any Person all, or any portion, of the Shares to be issued hereunder to such Purchaser at the Closing (collectively, the “</w:t>
      </w:r>
      <w:r>
        <w:rPr>
          <w:sz w:val="20"/>
          <w:u w:val="single"/>
        </w:rPr>
        <w:t>Pre-Settlement Shares</w:t>
      </w:r>
      <w:r>
        <w:rPr>
          <w:sz w:val="20"/>
        </w:rPr>
        <w:t>”), such Purchaser shall, automatically hereunder (without any additional required actions by such Purchaser or the Company), be deemed to be unconditionally bound to purchase, and the Company shall be deemed to be unconditionally bound to sell, such Pre-Settlement Shares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Ordinary Shares to any Person and that any such decision to sell any Ordinary Shares by such Purchaser shall solely be made at the time such Purchaser elects to effect any such sale, if any. Notwithstanding the foregoing, with respect to any Notice(s) of Exercise (as defined in the Warrants) delivered on or prior to 12:00 p.m. (New York City time) on the Closing Date, which may be delivered at any time after the time of execution of this Agreement, the Company agrees to deliver the Warrant Shares subject to such notice(s) by 4:00 p.m. (New York City time) on the Closing Date and the Closing Date shall be the Warrant Share Delivery Date (as defined in the Warrants) for purposes hereunder.</w:t>
      </w:r>
    </w:p>
    <w:p>
      <w:pPr>
        <w:pStyle w:val="TextBody"/>
        <w:bidi w:val="0"/>
        <w:spacing w:before="0" w:after="0"/>
        <w:ind w:left="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 xml:space="preserve">2.2              </w:t>
      </w:r>
      <w:r>
        <w:rPr>
          <w:sz w:val="20"/>
          <w:u w:val="single"/>
        </w:rPr>
        <w:t>Deliveries</w:t>
      </w:r>
      <w:r>
        <w:rPr>
          <w:sz w:val="20"/>
        </w:rPr>
        <w:t>.</w:t>
      </w:r>
    </w:p>
    <w:p>
      <w:pPr>
        <w:pStyle w:val="TextBody"/>
        <w:bidi w:val="0"/>
        <w:spacing w:before="0" w:after="0"/>
        <w:ind w:left="0" w:right="0" w:firstLine="720"/>
        <w:jc w:val="left"/>
        <w:rPr/>
      </w:pPr>
      <w:r>
        <w:rPr/>
        <w:t> </w:t>
      </w:r>
    </w:p>
    <w:p>
      <w:pPr>
        <w:pStyle w:val="TextBody"/>
        <w:bidi w:val="0"/>
        <w:spacing w:before="0" w:after="0"/>
        <w:ind w:left="720" w:right="0" w:firstLine="720"/>
        <w:jc w:val="both"/>
        <w:rPr>
          <w:sz w:val="20"/>
        </w:rPr>
      </w:pPr>
      <w:r>
        <w:rPr>
          <w:sz w:val="20"/>
        </w:rPr>
        <w:t>(a)               On or prior to the Closing Date (except as indicated below), the Company shall deliver or cause to be delivered to each Purchaser the following:</w:t>
      </w:r>
    </w:p>
    <w:p>
      <w:pPr>
        <w:pStyle w:val="TextBody"/>
        <w:bidi w:val="0"/>
        <w:spacing w:before="0" w:after="0"/>
        <w:ind w:left="720" w:right="0" w:firstLine="720"/>
        <w:jc w:val="both"/>
        <w:rPr/>
      </w:pPr>
      <w:r>
        <w:rPr/>
        <w:t> </w:t>
      </w:r>
    </w:p>
    <w:p>
      <w:pPr>
        <w:pStyle w:val="TextBody"/>
        <w:bidi w:val="0"/>
        <w:spacing w:before="0" w:after="0"/>
        <w:ind w:left="1440" w:right="0" w:firstLine="720"/>
        <w:jc w:val="both"/>
        <w:rPr>
          <w:sz w:val="20"/>
        </w:rPr>
      </w:pPr>
      <w:r>
        <w:rPr>
          <w:sz w:val="20"/>
        </w:rPr>
        <w:t>(i)                 this Agreement duly executed by the Company;</w:t>
      </w:r>
    </w:p>
    <w:p>
      <w:pPr>
        <w:pStyle w:val="TextBody"/>
        <w:bidi w:val="0"/>
        <w:spacing w:before="0" w:after="0"/>
        <w:ind w:left="1440" w:right="0" w:firstLine="720"/>
        <w:jc w:val="both"/>
        <w:rPr/>
      </w:pPr>
      <w:r>
        <w:rPr/>
        <w:t> </w:t>
      </w:r>
    </w:p>
    <w:p>
      <w:pPr>
        <w:pStyle w:val="TextBody"/>
        <w:bidi w:val="0"/>
        <w:spacing w:before="0" w:after="0"/>
        <w:ind w:left="1440" w:right="0" w:firstLine="720"/>
        <w:jc w:val="both"/>
        <w:rPr>
          <w:sz w:val="20"/>
        </w:rPr>
      </w:pPr>
      <w:r>
        <w:rPr>
          <w:sz w:val="20"/>
        </w:rPr>
        <w:t>(ii)              legal opinions of Company US Counsel and Company BVI Counsel, each directed to the Placement Agent and the Purchasers and in form reasonably acceptable to the Placement Agent and the Purchasers;</w:t>
      </w:r>
    </w:p>
    <w:p>
      <w:pPr>
        <w:pStyle w:val="TextBody"/>
        <w:bidi w:val="0"/>
        <w:spacing w:before="0" w:after="0"/>
        <w:ind w:left="1440" w:right="0" w:firstLine="720"/>
        <w:jc w:val="both"/>
        <w:rPr/>
      </w:pPr>
      <w:r>
        <w:rPr/>
        <w:t> </w:t>
      </w:r>
    </w:p>
    <w:p>
      <w:pPr>
        <w:pStyle w:val="TextBody"/>
        <w:bidi w:val="0"/>
        <w:spacing w:before="0" w:after="0"/>
        <w:ind w:left="1440" w:right="0" w:firstLine="720"/>
        <w:jc w:val="both"/>
        <w:rPr>
          <w:sz w:val="20"/>
        </w:rPr>
      </w:pPr>
      <w:r>
        <w:rPr>
          <w:sz w:val="20"/>
        </w:rPr>
        <w:t>(iii)            subject to Section 2.1, the Company shall have provided each Purchaser with the Company’s wire instructions, on Company letterhead and executed by the Chief Executive Officer or Chief Financial Officer;</w:t>
      </w:r>
    </w:p>
    <w:p>
      <w:pPr>
        <w:pStyle w:val="TextBody"/>
        <w:bidi w:val="0"/>
        <w:spacing w:before="0" w:after="0"/>
        <w:ind w:left="1440" w:right="0" w:firstLine="720"/>
        <w:jc w:val="both"/>
        <w:rPr/>
      </w:pPr>
      <w:r>
        <w:rPr/>
        <w:t> </w:t>
      </w:r>
    </w:p>
    <w:p>
      <w:pPr>
        <w:pStyle w:val="TextBody"/>
        <w:bidi w:val="0"/>
        <w:spacing w:before="0" w:after="0"/>
        <w:ind w:left="1440" w:right="0" w:firstLine="720"/>
        <w:jc w:val="both"/>
        <w:rPr>
          <w:sz w:val="20"/>
        </w:rPr>
      </w:pPr>
      <w:r>
        <w:rPr>
          <w:sz w:val="20"/>
        </w:rPr>
        <w:t>(iv)             subject to Section 2.1, a copy of the irrevocable instructions to the Transfer Agent instructing the Transfer Agent to deliver on an expedited basis via The Depository Trust Company Deposit or Withdrawal at Custodian system (“</w:t>
      </w:r>
      <w:r>
        <w:rPr>
          <w:sz w:val="20"/>
          <w:u w:val="single"/>
        </w:rPr>
        <w:t>DWAC</w:t>
      </w:r>
      <w:r>
        <w:rPr>
          <w:sz w:val="20"/>
        </w:rPr>
        <w:t>”) Shares equal to such Purchaser’s Subscription Amount divided by the Per Share Purchase Price (minus the number of Ordinary Shares issuable upon exercise of such Purchaser’s Pre-Funded Warrant, if applicable), registered in the name of such Purchaser;</w:t>
      </w:r>
    </w:p>
    <w:p>
      <w:pPr>
        <w:pStyle w:val="TextBody"/>
        <w:bidi w:val="0"/>
        <w:spacing w:before="0" w:after="0"/>
        <w:ind w:left="1440" w:right="0" w:firstLine="720"/>
        <w:jc w:val="both"/>
        <w:rPr/>
      </w:pPr>
      <w:r>
        <w:rPr/>
        <w:t> </w:t>
      </w:r>
    </w:p>
    <w:p>
      <w:pPr>
        <w:pStyle w:val="TextBody"/>
        <w:bidi w:val="0"/>
        <w:spacing w:before="0" w:after="0"/>
        <w:ind w:left="1440" w:right="0" w:firstLine="720"/>
        <w:jc w:val="both"/>
        <w:rPr>
          <w:sz w:val="20"/>
        </w:rPr>
      </w:pPr>
      <w:r>
        <w:rPr>
          <w:sz w:val="20"/>
        </w:rPr>
        <w:t>(v)               for each Purchaser of Pre-Funded Warrants pursuant to Section 2.1, a Pre-Funded Warrant registered in the name of such Purchaser to purchase up to a number of Ordinary Shares equal to the portion of such Purchaser’s Subscription Amount applicable to Pre-Funded Warrant divided by the Per Share Purchase Price minus $0.0001, with an exercise price equal to $0.0001, subject to adjustment therein; and</w:t>
      </w:r>
    </w:p>
    <w:p>
      <w:pPr>
        <w:pStyle w:val="TextBody"/>
        <w:bidi w:val="0"/>
        <w:spacing w:before="0" w:after="0"/>
        <w:ind w:left="1440" w:right="0" w:firstLine="720"/>
        <w:jc w:val="both"/>
        <w:rPr/>
      </w:pPr>
      <w:r>
        <w:rPr/>
        <w:t> </w:t>
      </w:r>
    </w:p>
    <w:p>
      <w:pPr>
        <w:pStyle w:val="TextBody"/>
        <w:bidi w:val="0"/>
        <w:spacing w:before="0" w:after="0"/>
        <w:ind w:left="1440" w:right="0" w:firstLine="720"/>
        <w:jc w:val="both"/>
        <w:rPr>
          <w:sz w:val="20"/>
        </w:rPr>
      </w:pPr>
      <w:r>
        <w:rPr>
          <w:sz w:val="20"/>
        </w:rPr>
        <w:t>(vi)             the Prospectus and Prospectus Supplement (which may be delivered in accordance with Rule 172 under the Securities Act).</w:t>
      </w:r>
    </w:p>
    <w:p>
      <w:pPr>
        <w:pStyle w:val="TextBody"/>
        <w:bidi w:val="0"/>
        <w:spacing w:before="0" w:after="0"/>
        <w:ind w:left="1440" w:right="0" w:firstLine="720"/>
        <w:jc w:val="both"/>
        <w:rPr/>
      </w:pPr>
      <w:r>
        <w:rPr/>
        <w:t> </w:t>
      </w:r>
    </w:p>
    <w:p>
      <w:pPr>
        <w:pStyle w:val="TextBody"/>
        <w:bidi w:val="0"/>
        <w:spacing w:before="0" w:after="0"/>
        <w:ind w:left="720" w:right="0" w:firstLine="720"/>
        <w:jc w:val="both"/>
        <w:rPr>
          <w:sz w:val="20"/>
        </w:rPr>
      </w:pPr>
      <w:r>
        <w:rPr>
          <w:sz w:val="20"/>
        </w:rPr>
        <w:t>(b)               On or prior to the Closing Date, each Purchaser shall deliver or cause to be delivered to the Company the following:</w:t>
      </w:r>
    </w:p>
    <w:p>
      <w:pPr>
        <w:pStyle w:val="TextBody"/>
        <w:bidi w:val="0"/>
        <w:spacing w:before="0" w:after="0"/>
        <w:ind w:left="720" w:right="0" w:firstLine="720"/>
        <w:jc w:val="both"/>
        <w:rPr/>
      </w:pPr>
      <w:r>
        <w:rPr/>
        <w:t> </w:t>
      </w:r>
    </w:p>
    <w:p>
      <w:pPr>
        <w:pStyle w:val="TextBody"/>
        <w:bidi w:val="0"/>
        <w:spacing w:before="0" w:after="0"/>
        <w:ind w:left="1440" w:right="0" w:firstLine="720"/>
        <w:jc w:val="both"/>
        <w:rPr>
          <w:sz w:val="20"/>
        </w:rPr>
      </w:pPr>
      <w:r>
        <w:rPr>
          <w:sz w:val="20"/>
        </w:rPr>
        <w:t>(i)                 this Agreement duly executed by such Purchaser; and</w:t>
      </w:r>
    </w:p>
    <w:p>
      <w:pPr>
        <w:pStyle w:val="TextBody"/>
        <w:bidi w:val="0"/>
        <w:spacing w:before="0" w:after="0"/>
        <w:ind w:left="1440" w:right="0" w:firstLine="720"/>
        <w:jc w:val="both"/>
        <w:rPr/>
      </w:pPr>
      <w:r>
        <w:rPr/>
        <w:t> </w:t>
      </w:r>
    </w:p>
    <w:p>
      <w:pPr>
        <w:pStyle w:val="TextBody"/>
        <w:bidi w:val="0"/>
        <w:spacing w:before="0" w:after="0"/>
        <w:ind w:left="1440" w:right="0" w:firstLine="720"/>
        <w:jc w:val="both"/>
        <w:rPr>
          <w:sz w:val="20"/>
        </w:rPr>
      </w:pPr>
      <w:r>
        <w:rPr>
          <w:sz w:val="20"/>
        </w:rPr>
        <w:t>(ii)              such Purchaser’s Subscription Amount, which shall be made available for “Delivery Versus Payment” settlement with the Company or its designee.</w:t>
      </w:r>
    </w:p>
    <w:p>
      <w:pPr>
        <w:pStyle w:val="TextBody"/>
        <w:bidi w:val="0"/>
        <w:spacing w:before="0" w:after="0"/>
        <w:ind w:left="1440" w:right="0" w:firstLine="720"/>
        <w:jc w:val="both"/>
        <w:rPr/>
      </w:pPr>
      <w:r>
        <w:rPr/>
        <w:t> </w:t>
      </w:r>
    </w:p>
    <w:p>
      <w:pPr>
        <w:pStyle w:val="TextBody"/>
        <w:bidi w:val="0"/>
        <w:spacing w:before="0" w:after="0"/>
        <w:ind w:left="0" w:right="0" w:firstLine="720"/>
        <w:jc w:val="both"/>
        <w:rPr>
          <w:sz w:val="20"/>
        </w:rPr>
      </w:pPr>
      <w:r>
        <w:rPr>
          <w:sz w:val="20"/>
        </w:rPr>
        <w:t xml:space="preserve">2.3              </w:t>
      </w:r>
      <w:r>
        <w:rPr>
          <w:sz w:val="20"/>
          <w:u w:val="single"/>
        </w:rPr>
        <w:t>Closing Conditions</w:t>
      </w:r>
      <w:r>
        <w:rPr>
          <w:sz w:val="20"/>
        </w:rPr>
        <w:t>.</w:t>
      </w:r>
    </w:p>
    <w:p>
      <w:pPr>
        <w:pStyle w:val="TextBody"/>
        <w:bidi w:val="0"/>
        <w:spacing w:before="0" w:after="0"/>
        <w:ind w:left="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(a)       The obligations of the Company hereunder in connection with the Closing are subject to the following conditions being met:</w:t>
      </w:r>
    </w:p>
    <w:p>
      <w:pPr>
        <w:pStyle w:val="TextBody"/>
        <w:bidi w:val="0"/>
        <w:spacing w:before="0" w:after="0"/>
        <w:ind w:left="720" w:right="0" w:firstLine="720"/>
        <w:jc w:val="both"/>
        <w:rPr/>
      </w:pPr>
      <w:r>
        <w:rPr/>
        <w:t> </w:t>
      </w:r>
    </w:p>
    <w:p>
      <w:pPr>
        <w:pStyle w:val="TextBody"/>
        <w:bidi w:val="0"/>
        <w:spacing w:before="0" w:after="0"/>
        <w:ind w:left="1440" w:right="0" w:firstLine="720"/>
        <w:jc w:val="both"/>
        <w:rPr>
          <w:sz w:val="20"/>
        </w:rPr>
      </w:pPr>
      <w:r>
        <w:rPr>
          <w:sz w:val="20"/>
        </w:rPr>
        <w:t>(i)                 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pStyle w:val="TextBody"/>
        <w:bidi w:val="0"/>
        <w:spacing w:before="0" w:after="0"/>
        <w:ind w:left="1440" w:right="0" w:firstLine="720"/>
        <w:jc w:val="both"/>
        <w:rPr/>
      </w:pPr>
      <w:r>
        <w:rPr/>
        <w:t> </w:t>
      </w:r>
    </w:p>
    <w:p>
      <w:pPr>
        <w:pStyle w:val="TextBody"/>
        <w:bidi w:val="0"/>
        <w:spacing w:before="0" w:after="0"/>
        <w:ind w:left="1440" w:right="0" w:firstLine="720"/>
        <w:jc w:val="both"/>
        <w:rPr>
          <w:sz w:val="20"/>
        </w:rPr>
      </w:pPr>
      <w:r>
        <w:rPr>
          <w:sz w:val="20"/>
        </w:rPr>
        <w:t>(ii)              all obligations, covenants and agreements of each Purchaser required to be performed at or prior to the Closing Date shall have been performed; and</w:t>
      </w:r>
    </w:p>
    <w:p>
      <w:pPr>
        <w:pStyle w:val="TextBody"/>
        <w:bidi w:val="0"/>
        <w:spacing w:before="0" w:after="0"/>
        <w:ind w:left="1440" w:right="0" w:firstLine="720"/>
        <w:jc w:val="both"/>
        <w:rPr/>
      </w:pPr>
      <w:r>
        <w:rPr/>
        <w:t> </w:t>
      </w:r>
    </w:p>
    <w:p>
      <w:pPr>
        <w:pStyle w:val="TextBody"/>
        <w:bidi w:val="0"/>
        <w:spacing w:before="0" w:after="0"/>
        <w:ind w:left="1440" w:right="0" w:firstLine="720"/>
        <w:jc w:val="both"/>
        <w:rPr>
          <w:sz w:val="20"/>
        </w:rPr>
      </w:pPr>
      <w:r>
        <w:rPr>
          <w:sz w:val="20"/>
        </w:rPr>
        <w:t>(iii)            the delivery by each Purchaser of the items set forth in Section 2.2(b) of this Agreement.</w:t>
      </w:r>
    </w:p>
    <w:p>
      <w:pPr>
        <w:pStyle w:val="TextBody"/>
        <w:bidi w:val="0"/>
        <w:spacing w:before="0" w:after="0"/>
        <w:ind w:left="1440" w:right="0" w:firstLine="720"/>
        <w:jc w:val="both"/>
        <w:rPr/>
      </w:pPr>
      <w:r>
        <w:rPr/>
        <w:t> </w:t>
      </w:r>
    </w:p>
    <w:p>
      <w:pPr>
        <w:pStyle w:val="TextBody"/>
        <w:bidi w:val="0"/>
        <w:spacing w:before="0" w:after="0"/>
        <w:ind w:left="720" w:right="0" w:firstLine="720"/>
        <w:jc w:val="both"/>
        <w:rPr>
          <w:sz w:val="20"/>
        </w:rPr>
      </w:pPr>
      <w:r>
        <w:rPr>
          <w:sz w:val="20"/>
        </w:rPr>
        <w:t>(b)               The respective obligations of the Purchasers hereunder in connection with the Closing are subject to the following conditions being met:</w:t>
      </w:r>
    </w:p>
    <w:p>
      <w:pPr>
        <w:pStyle w:val="TextBody"/>
        <w:bidi w:val="0"/>
        <w:spacing w:before="0" w:after="0"/>
        <w:ind w:left="720" w:right="0" w:firstLine="720"/>
        <w:jc w:val="both"/>
        <w:rPr/>
      </w:pPr>
      <w:r>
        <w:rPr/>
        <w:t> </w:t>
      </w:r>
    </w:p>
    <w:p>
      <w:pPr>
        <w:pStyle w:val="TextBody"/>
        <w:bidi w:val="0"/>
        <w:spacing w:before="0" w:after="0"/>
        <w:ind w:left="1440" w:right="0" w:firstLine="720"/>
        <w:jc w:val="both"/>
        <w:rPr>
          <w:sz w:val="20"/>
        </w:rPr>
      </w:pPr>
      <w:r>
        <w:rPr>
          <w:sz w:val="20"/>
        </w:rPr>
        <w:t>(i)                 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ind w:left="1440" w:right="0" w:firstLine="720"/>
        <w:jc w:val="both"/>
        <w:rPr/>
      </w:pPr>
      <w:r>
        <w:rPr/>
        <w:t> </w:t>
      </w:r>
    </w:p>
    <w:p>
      <w:pPr>
        <w:pStyle w:val="TextBody"/>
        <w:bidi w:val="0"/>
        <w:spacing w:before="0" w:after="0"/>
        <w:ind w:left="1440" w:right="0" w:firstLine="720"/>
        <w:jc w:val="both"/>
        <w:rPr>
          <w:sz w:val="20"/>
        </w:rPr>
      </w:pPr>
      <w:r>
        <w:rPr>
          <w:sz w:val="20"/>
        </w:rPr>
        <w:t>(ii)              all obligations, covenants and agreements of the Company required to be performed at or prior to the Closing Date shall have been performed;</w:t>
      </w:r>
    </w:p>
    <w:p>
      <w:pPr>
        <w:pStyle w:val="TextBody"/>
        <w:bidi w:val="0"/>
        <w:spacing w:before="0" w:after="0"/>
        <w:ind w:left="1440" w:right="0" w:firstLine="720"/>
        <w:jc w:val="both"/>
        <w:rPr/>
      </w:pPr>
      <w:r>
        <w:rPr/>
        <w:t> </w:t>
      </w:r>
    </w:p>
    <w:p>
      <w:pPr>
        <w:pStyle w:val="TextBody"/>
        <w:bidi w:val="0"/>
        <w:spacing w:before="0" w:after="0"/>
        <w:ind w:left="1440" w:right="0" w:firstLine="720"/>
        <w:jc w:val="both"/>
        <w:rPr>
          <w:sz w:val="20"/>
        </w:rPr>
      </w:pPr>
      <w:r>
        <w:rPr>
          <w:sz w:val="20"/>
        </w:rPr>
        <w:t>(iii)            the delivery by the Company of the items set forth in Section 2.2(a) of this Agreement;</w:t>
      </w:r>
    </w:p>
    <w:p>
      <w:pPr>
        <w:pStyle w:val="TextBody"/>
        <w:bidi w:val="0"/>
        <w:spacing w:before="0" w:after="0"/>
        <w:ind w:left="1440" w:right="0" w:firstLine="720"/>
        <w:jc w:val="both"/>
        <w:rPr/>
      </w:pPr>
      <w:r>
        <w:rPr/>
        <w:t> </w:t>
      </w:r>
    </w:p>
    <w:p>
      <w:pPr>
        <w:pStyle w:val="TextBody"/>
        <w:bidi w:val="0"/>
        <w:spacing w:before="0" w:after="0"/>
        <w:ind w:left="1440" w:right="0" w:firstLine="720"/>
        <w:jc w:val="both"/>
        <w:rPr>
          <w:sz w:val="20"/>
        </w:rPr>
      </w:pPr>
      <w:r>
        <w:rPr>
          <w:sz w:val="20"/>
        </w:rPr>
        <w:t>(iv)             there shall have been no Material Adverse Effect with respect to the Company; and</w:t>
      </w:r>
    </w:p>
    <w:p>
      <w:pPr>
        <w:pStyle w:val="TextBody"/>
        <w:bidi w:val="0"/>
        <w:spacing w:before="0" w:after="0"/>
        <w:ind w:left="1440" w:right="0" w:firstLine="720"/>
        <w:jc w:val="both"/>
        <w:rPr/>
      </w:pPr>
      <w:r>
        <w:rPr/>
        <w:t> </w:t>
      </w:r>
    </w:p>
    <w:p>
      <w:pPr>
        <w:pStyle w:val="TextBody"/>
        <w:bidi w:val="0"/>
        <w:spacing w:before="0" w:after="0"/>
        <w:ind w:left="1440" w:right="0" w:firstLine="720"/>
        <w:jc w:val="both"/>
        <w:rPr>
          <w:sz w:val="20"/>
        </w:rPr>
      </w:pPr>
      <w:r>
        <w:rPr>
          <w:sz w:val="20"/>
        </w:rPr>
        <w:t>(v)               from the date hereof to the Closing Date, trading in the Ordinary Shares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pStyle w:val="TextBody"/>
        <w:bidi w:val="0"/>
        <w:spacing w:before="0" w:after="0"/>
        <w:ind w:left="144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sz w:val="20"/>
        </w:rPr>
      </w:pPr>
      <w:r>
        <w:rPr>
          <w:b/>
          <w:sz w:val="20"/>
        </w:rPr>
        <w:t>ARTICLE III.</w:t>
      </w:r>
      <w:r>
        <w:rPr>
          <w:sz w:val="20"/>
        </w:rPr>
        <w:br/>
        <w:t>REPRESENTATIONS AND WARRANTIES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3.1              </w:t>
      </w:r>
      <w:r>
        <w:rPr>
          <w:sz w:val="20"/>
          <w:u w:val="single"/>
        </w:rPr>
        <w:t>Representations and Warranties of the Company</w:t>
      </w:r>
      <w:r>
        <w:rPr>
          <w:sz w:val="20"/>
        </w:rPr>
        <w:t>. The Company hereby makes the following representations and warranties to each Purchaser:</w:t>
      </w:r>
    </w:p>
    <w:p>
      <w:pPr>
        <w:pStyle w:val="TextBody"/>
        <w:bidi w:val="0"/>
        <w:spacing w:before="0" w:after="0"/>
        <w:ind w:left="0" w:right="0" w:firstLine="720"/>
        <w:jc w:val="both"/>
        <w:rPr/>
      </w:pPr>
      <w:r>
        <w:rPr/>
        <w:t> </w:t>
      </w:r>
    </w:p>
    <w:p>
      <w:pPr>
        <w:pStyle w:val="TextBody"/>
        <w:bidi w:val="0"/>
        <w:spacing w:before="0" w:after="0"/>
        <w:ind w:left="720" w:right="0" w:firstLine="720"/>
        <w:jc w:val="both"/>
        <w:rPr>
          <w:sz w:val="20"/>
        </w:rPr>
      </w:pPr>
      <w:r>
        <w:rPr>
          <w:sz w:val="20"/>
        </w:rPr>
        <w:t xml:space="preserve">(a)               </w:t>
      </w:r>
      <w:r>
        <w:rPr>
          <w:sz w:val="20"/>
          <w:u w:val="single"/>
        </w:rPr>
        <w:t>Subsidiaries</w:t>
      </w:r>
      <w:r>
        <w:rPr>
          <w:sz w:val="20"/>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(b)               </w:t>
      </w:r>
      <w:r>
        <w:rPr>
          <w:sz w:val="20"/>
          <w:u w:val="single"/>
        </w:rPr>
        <w:t>Organization and Qualification</w:t>
      </w:r>
      <w:r>
        <w:rPr>
          <w:sz w:val="20"/>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memorandum and articles of association,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sz w:val="20"/>
          <w:u w:val="single"/>
        </w:rPr>
        <w:t>Material Adverse Effect</w:t>
      </w:r>
      <w:r>
        <w:rPr>
          <w:sz w:val="20"/>
        </w:rPr>
        <w:t>”) and no Proceeding has been instituted in any such jurisdiction revoking, limiting or curtailing or seeking to revoke, limit or curtail such power and authority or qualification.</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(c)               </w:t>
      </w:r>
      <w:r>
        <w:rPr>
          <w:sz w:val="20"/>
          <w:u w:val="single"/>
        </w:rPr>
        <w:t>Authorization; Enforcement</w:t>
      </w:r>
      <w:r>
        <w:rPr>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shareholders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72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(d)               </w:t>
      </w:r>
      <w:r>
        <w:rPr>
          <w:sz w:val="20"/>
          <w:u w:val="single"/>
        </w:rPr>
        <w:t>No Conflicts</w:t>
      </w:r>
      <w:r>
        <w:rPr>
          <w:sz w:val="20"/>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memorandum and articles of association,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(e)               </w:t>
      </w:r>
      <w:r>
        <w:rPr>
          <w:sz w:val="20"/>
          <w:u w:val="single"/>
        </w:rPr>
        <w:t>Filings, Consents and Approvals</w:t>
      </w:r>
      <w:r>
        <w:rPr>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Warrant Shares for trading thereon in the time and manner required thereby, and (iv) such filings as are required to be made under applicable state securities laws (collectively, the “</w:t>
      </w:r>
      <w:r>
        <w:rPr>
          <w:sz w:val="20"/>
          <w:u w:val="single"/>
        </w:rPr>
        <w:t>Required Approvals</w:t>
      </w:r>
      <w:r>
        <w:rPr>
          <w:sz w:val="20"/>
        </w:rPr>
        <w: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(f)                </w:t>
      </w:r>
      <w:r>
        <w:rPr>
          <w:sz w:val="20"/>
          <w:u w:val="single"/>
        </w:rPr>
        <w:t>Issuance of the Securities; Registration</w:t>
      </w:r>
      <w:r>
        <w:rPr>
          <w:sz w:val="20"/>
        </w:rPr>
        <w:t>. The Securities are duly authorized and, when issued and paid for in accordance with the applicable Transaction Documents, will be duly and validly issued, fully paid and nonassessable, free and clear of all Liens imposed by the Company. The Warrant Shares, when issued in accordance with the terms of the Warrants, will be validly issued, fully paid and nonassessable, free and clear of all Liens imposed by the Company. The Company has reserved from its duly authorized share capital the maximum number of Ordinary Shares issuable pursuant to this Agreement and the Warrants. The Company has prepared and filed the Registration Statement in conformity with the requirements of the Securities Act, which became effective on December 11, 2025,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F-3. The Company is eligible to use Form F-3 under the Securities Act pursuant to General Instruction I.B.1 of Form F-3.</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(g)               </w:t>
      </w:r>
      <w:r>
        <w:rPr>
          <w:sz w:val="20"/>
          <w:u w:val="single"/>
        </w:rPr>
        <w:t>Capitalization</w:t>
      </w:r>
      <w:r>
        <w:rPr>
          <w:sz w:val="20"/>
        </w:rPr>
        <w:t>. The capitalization of the Company as of the date hereof is as set forth in the SEC Reports. The Company has not issued any share capital since its most recently filed periodic report under the Exchange Act, other than pursuant to the exercise of employee stock options under the Company’s share option plans, the issuance of Ordinary Shares to employees pursuant to the Company’s employee equity incentive plans and pursuant to the conversion and/or exercise of Ordinary Share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and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Ordinary Shares or the share capital of any Subsidiary, or contracts, commitments, understandings or arrangements by which the Company or any Subsidiary is or may become bound to issue additional Ordinary Shares or Ordinary Share Equivalents or share capital of any Subsidiary. The issuance and sale of the Securities will not obligate the Company or any Subsidiary to issue Ordinary Shares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share appreciation rights or “phantom stock” plans or agreements or any similar plan or agreement. All of the outstanding shares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shareholder, the Board of Directors or others is required for the issuance and sale of the Securities. There are no shareholders agreements, voting agreements or other similar agreements with respect to the Company’s share capital to which the Company is a party or, to the knowledge of the Company, between or among any of the Company’s shareholders.</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(h)               </w:t>
      </w:r>
      <w:r>
        <w:rPr>
          <w:sz w:val="20"/>
          <w:u w:val="single"/>
        </w:rPr>
        <w:t>SEC Reports; Financial Statements</w:t>
      </w:r>
      <w:r>
        <w:rPr>
          <w:sz w:val="20"/>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sz w:val="20"/>
          <w:u w:val="single"/>
        </w:rPr>
        <w:t>SEC Reports</w:t>
      </w:r>
      <w:r>
        <w:rPr>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International Financial Reporting Standards, as promulgated by the International Accounting Standards Board (“</w:t>
      </w:r>
      <w:r>
        <w:rPr>
          <w:sz w:val="20"/>
          <w:u w:val="single"/>
        </w:rPr>
        <w:t>IFRS</w:t>
      </w:r>
      <w:r>
        <w:rPr>
          <w:sz w:val="20"/>
        </w:rPr>
        <w:t>”) applied on a consistent basis during the periods involved, except as may be otherwise specified in such financial statements or the notes thereto and except that unaudited financial statements may not contain all footnotes required by IFRS,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(i)                 </w:t>
      </w:r>
      <w:r>
        <w:rPr>
          <w:sz w:val="20"/>
          <w:u w:val="single"/>
        </w:rPr>
        <w:t>Material Changes; Undisclosed Events, Liabilities or Developments</w:t>
      </w:r>
      <w:r>
        <w:rPr>
          <w:sz w:val="20"/>
        </w:rPr>
        <w:t>. Since the date of the latest audited financial statements included within the SEC Reports, except as set forth 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IFRS or disclosed in filings made with the Commission, (iii) the Company has not altered its method of accounting, (iv) the Company has not declared or made any dividend or distribution of cash or other property to its shareholders or purchased, redeemed or made any agreements to purchase or redeem any shares of its share capital and (v) the Company has not issued any equity securities to any officer, director or Affiliate, except pursuant to existing Company equity incentive plans. The Company does not have pending before the Commission any request for confidential treatment of information. Except for the issuance of the Securities contemplated by this Agreement or as set forth in the SEC Reports,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(j)                 </w:t>
      </w:r>
      <w:r>
        <w:rPr>
          <w:sz w:val="20"/>
          <w:u w:val="single"/>
        </w:rPr>
        <w:t>Litigation</w:t>
      </w:r>
      <w:r>
        <w:rPr>
          <w:sz w:val="20"/>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sz w:val="20"/>
          <w:u w:val="single"/>
        </w:rPr>
        <w:t>Action</w:t>
      </w:r>
      <w:r>
        <w:rPr>
          <w:sz w:val="20"/>
        </w:rPr>
        <w:t>”). None of the Actions set forth in the SEC Reports,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(k)               </w:t>
      </w:r>
      <w:r>
        <w:rPr>
          <w:sz w:val="20"/>
          <w:u w:val="single"/>
        </w:rPr>
        <w:t>Labor Relations</w:t>
      </w:r>
      <w:r>
        <w:rPr>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(l)                 </w:t>
      </w:r>
      <w:r>
        <w:rPr>
          <w:sz w:val="20"/>
          <w:u w:val="single"/>
        </w:rPr>
        <w:t>Compliance</w:t>
      </w:r>
      <w:r>
        <w:rPr>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(m)             </w:t>
      </w:r>
      <w:r>
        <w:rPr>
          <w:sz w:val="20"/>
          <w:u w:val="single"/>
        </w:rPr>
        <w:t>Environmental Laws</w:t>
      </w:r>
      <w:r>
        <w:rPr>
          <w:sz w:val="20"/>
        </w:rPr>
        <w:t>.</w:t>
        <w:tab/>
        <w:t>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sz w:val="20"/>
          <w:u w:val="single"/>
        </w:rPr>
        <w:t>Hazardous Materials</w:t>
      </w:r>
      <w:r>
        <w:rPr>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sz w:val="20"/>
          <w:u w:val="single"/>
        </w:rPr>
        <w:t>Environmental Laws</w:t>
      </w:r>
      <w:r>
        <w:rPr>
          <w:sz w:val="20"/>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(n)               </w:t>
      </w:r>
      <w:r>
        <w:rPr>
          <w:sz w:val="20"/>
          <w:u w:val="single"/>
        </w:rPr>
        <w:t>Regulatory Permits</w:t>
      </w:r>
      <w:r>
        <w:rPr>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sz w:val="20"/>
          <w:u w:val="single"/>
        </w:rPr>
        <w:t>Material Permits</w:t>
      </w:r>
      <w:r>
        <w:rPr>
          <w:sz w:val="20"/>
        </w:rPr>
        <w:t>”), and neither the Company nor any Subsidiary has received any notice of proceedings relating to the revocation or modification of any Material Permit.</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(o)               </w:t>
      </w:r>
      <w:r>
        <w:rPr>
          <w:sz w:val="20"/>
          <w:u w:val="single"/>
        </w:rPr>
        <w:t>Title to Assets</w:t>
      </w:r>
      <w:r>
        <w:rPr>
          <w:sz w:val="20"/>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IFRS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(p)               </w:t>
      </w:r>
      <w:r>
        <w:rPr>
          <w:sz w:val="20"/>
          <w:u w:val="single"/>
        </w:rPr>
        <w:t>Intellectual Property</w:t>
      </w:r>
      <w:r>
        <w:rPr>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sz w:val="20"/>
          <w:u w:val="single"/>
        </w:rPr>
        <w:t>Intellectual Property Rights</w:t>
      </w:r>
      <w:r>
        <w:rPr>
          <w:sz w:val="20"/>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(q)               </w:t>
      </w:r>
      <w:r>
        <w:rPr>
          <w:sz w:val="20"/>
          <w:u w:val="single"/>
        </w:rPr>
        <w:t>Insurance</w:t>
      </w:r>
      <w:r>
        <w:rPr>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(r)                </w:t>
      </w:r>
      <w:r>
        <w:rPr>
          <w:sz w:val="20"/>
          <w:u w:val="single"/>
        </w:rPr>
        <w:t>Transactions With Affiliates and Employees</w:t>
      </w:r>
      <w:r>
        <w:rPr>
          <w:sz w:val="20"/>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shareholder, member or partner, in each case in excess of $120,000 other than for (i) payment of salary or consulting fees for services rendered, (ii) reimbursement for expenses incurred on behalf of the Company and (iii) other employee benefits, including equity incentives under any equity incentive plan of the Company.</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(s)                </w:t>
      </w:r>
      <w:r>
        <w:rPr>
          <w:sz w:val="20"/>
          <w:u w:val="single"/>
        </w:rPr>
        <w:t>Sarbanes-Oxley; Internal Accounting Controls</w:t>
      </w:r>
      <w:r>
        <w:rPr>
          <w:sz w:val="20"/>
        </w:rPr>
        <w:t>. The Company and the Subsidiaries are in compliance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IFRS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sz w:val="20"/>
          <w:u w:val="single"/>
        </w:rPr>
        <w:t>Evaluation Date</w:t>
      </w:r>
      <w:r>
        <w:rPr>
          <w:sz w:val="20"/>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(t)                 </w:t>
      </w:r>
      <w:r>
        <w:rPr>
          <w:sz w:val="20"/>
          <w:u w:val="single"/>
        </w:rPr>
        <w:t>Certain Fees</w:t>
      </w:r>
      <w:r>
        <w:rPr>
          <w:sz w:val="20"/>
        </w:rPr>
        <w:t>. Except for fees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(u)               </w:t>
      </w:r>
      <w:r>
        <w:rPr>
          <w:sz w:val="20"/>
          <w:u w:val="single"/>
        </w:rPr>
        <w:t>Investment Company</w:t>
      </w:r>
      <w:r>
        <w:rPr>
          <w:sz w:val="20"/>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(v)               </w:t>
      </w:r>
      <w:r>
        <w:rPr>
          <w:sz w:val="20"/>
          <w:u w:val="single"/>
        </w:rPr>
        <w:t>Registration Rights</w:t>
      </w:r>
      <w:r>
        <w:rPr>
          <w:sz w:val="20"/>
        </w:rPr>
        <w:t>. No Person has any right to cause the Company or any Subsidiary to effect the registration under the Securities Act of any securities of the Company or any Subsidiary.</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(w)             </w:t>
      </w:r>
      <w:r>
        <w:rPr>
          <w:sz w:val="20"/>
          <w:u w:val="single"/>
        </w:rPr>
        <w:t>Listing and Maintenance Requirements</w:t>
      </w:r>
      <w:r>
        <w:rPr>
          <w:sz w:val="20"/>
        </w:rPr>
        <w:t>. The Ordinary Shares are registered pursuant to Section 12(b) or 12(g) of the Exchange Act, and the Company has taken no action designed to, or which to its knowledge is likely to have the effect of, terminating the registration of the Ordinary Shares under the Exchange Act nor has the Company received any notification that the Commission is contemplating terminating such registration. The Company has not, in the 12 months preceding the date hereof, received notice from any Trading Market on which the Ordinary Shares are or have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Ordinary Shares are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(x)               </w:t>
      </w:r>
      <w:r>
        <w:rPr>
          <w:sz w:val="20"/>
          <w:u w:val="single"/>
        </w:rPr>
        <w:t>Application of Takeover Protections</w:t>
      </w:r>
      <w:r>
        <w:rPr>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(y)               </w:t>
      </w:r>
      <w:r>
        <w:rPr>
          <w:sz w:val="20"/>
          <w:u w:val="single"/>
        </w:rPr>
        <w:t>Disclosure</w:t>
      </w:r>
      <w:r>
        <w:rPr>
          <w:sz w:val="20"/>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(z)               </w:t>
      </w:r>
      <w:r>
        <w:rPr>
          <w:sz w:val="20"/>
          <w:u w:val="single"/>
        </w:rPr>
        <w:t>No Integrated Offering</w:t>
      </w:r>
      <w:r>
        <w:rPr>
          <w:sz w:val="20"/>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(aa)            </w:t>
      </w:r>
      <w:r>
        <w:rPr>
          <w:sz w:val="20"/>
          <w:u w:val="single"/>
        </w:rPr>
        <w:t>Solvency</w:t>
      </w:r>
      <w:r>
        <w:rPr>
          <w:sz w:val="20"/>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dates thereof all outstanding secured and unsecured Indebtedness of the Company or any Subsidiary, or for which the Company or any Subsidiary has commitments. For the purposes of this Agreement, “</w:t>
      </w:r>
      <w:r>
        <w:rPr>
          <w:sz w:val="20"/>
          <w:u w:val="single"/>
        </w:rPr>
        <w:t>Indebtedness</w:t>
      </w:r>
      <w:r>
        <w:rPr>
          <w:sz w:val="20"/>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IFRS. Neither the Company nor any Subsidiary is in default with respect to any Indebtedness.</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(bb)           </w:t>
      </w:r>
      <w:r>
        <w:rPr>
          <w:sz w:val="20"/>
          <w:u w:val="single"/>
        </w:rPr>
        <w:t>Tax Status</w:t>
      </w:r>
      <w:r>
        <w:rPr>
          <w:sz w:val="20"/>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(cc)            </w:t>
      </w:r>
      <w:r>
        <w:rPr>
          <w:sz w:val="20"/>
          <w:u w:val="single"/>
        </w:rPr>
        <w:t>Foreign Corrupt Practices</w:t>
      </w:r>
      <w:r>
        <w:rPr>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(dd)           </w:t>
      </w:r>
      <w:r>
        <w:rPr>
          <w:sz w:val="20"/>
          <w:u w:val="single"/>
        </w:rPr>
        <w:t>Accountants</w:t>
      </w:r>
      <w:r>
        <w:rPr>
          <w:sz w:val="20"/>
        </w:rPr>
        <w:t>. The Company’s accounting firm is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March 31, 2026.</w:t>
        <w:tab/>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(ee)            </w:t>
      </w:r>
      <w:r>
        <w:rPr>
          <w:sz w:val="20"/>
          <w:u w:val="single"/>
        </w:rPr>
        <w:t>Acknowledgment Regarding Purchasers’ Purchase of Securities</w:t>
      </w:r>
      <w:r>
        <w:rPr>
          <w:sz w:val="20"/>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(ff)              </w:t>
      </w:r>
      <w:r>
        <w:rPr>
          <w:sz w:val="20"/>
          <w:u w:val="single"/>
        </w:rPr>
        <w:t>Acknowledgment Regarding Purchaser’s Trading Activity</w:t>
      </w:r>
      <w:r>
        <w:rPr>
          <w:sz w:val="20"/>
        </w:rPr>
        <w:t>.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Ordinary Shares,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shareholders'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(gg)           </w:t>
      </w:r>
      <w:r>
        <w:rPr>
          <w:sz w:val="20"/>
          <w:u w:val="single"/>
        </w:rPr>
        <w:t>Regulation M Compliance</w:t>
      </w:r>
      <w:r>
        <w:rPr>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(hh)           </w:t>
      </w:r>
      <w:r>
        <w:rPr>
          <w:sz w:val="20"/>
          <w:u w:val="single"/>
        </w:rPr>
        <w:t>FDA</w:t>
      </w:r>
      <w:r>
        <w:rPr>
          <w:sz w:val="20"/>
        </w:rPr>
        <w:t>. As to each product subject to the jurisdiction of the U.S. Food and Drug Administration (“</w:t>
      </w:r>
      <w:r>
        <w:rPr>
          <w:sz w:val="20"/>
          <w:u w:val="single"/>
        </w:rPr>
        <w:t>FDA</w:t>
      </w:r>
      <w:r>
        <w:rPr>
          <w:sz w:val="20"/>
        </w:rPr>
        <w:t>”) under the Federal Food, Drug and Cosmetic Act, as amended, and the regulations thereunder (“</w:t>
      </w:r>
      <w:r>
        <w:rPr>
          <w:sz w:val="20"/>
          <w:u w:val="single"/>
        </w:rPr>
        <w:t>FDCA</w:t>
      </w:r>
      <w:r>
        <w:rPr>
          <w:sz w:val="20"/>
        </w:rPr>
        <w:t>”) that is manufactured, packaged, labeled, tested, distributed, sold, and/or marketed by the Company or any of its Subsidiaries (each such product, a “</w:t>
      </w:r>
      <w:r>
        <w:rPr>
          <w:sz w:val="20"/>
          <w:u w:val="single"/>
        </w:rPr>
        <w:t>Pharmaceutical Product</w:t>
      </w:r>
      <w:r>
        <w:rPr>
          <w:sz w:val="20"/>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(ii)              </w:t>
      </w:r>
      <w:r>
        <w:rPr>
          <w:sz w:val="20"/>
          <w:u w:val="single"/>
        </w:rPr>
        <w:t>Cybersecurity</w:t>
      </w:r>
      <w:r>
        <w:rPr>
          <w:sz w:val="20"/>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sz w:val="20"/>
          <w:u w:val="single"/>
        </w:rPr>
        <w:t>IT Systems and Data</w:t>
      </w:r>
      <w:r>
        <w:rPr>
          <w:sz w:val="20"/>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 </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(jj)              </w:t>
      </w:r>
      <w:r>
        <w:rPr>
          <w:sz w:val="20"/>
          <w:u w:val="single"/>
        </w:rPr>
        <w:t>Compliance with Data Privacy Laws</w:t>
      </w:r>
      <w:r>
        <w:rPr>
          <w:sz w:val="20"/>
        </w:rPr>
        <w:t>.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w:t>
      </w:r>
      <w:r>
        <w:rPr>
          <w:sz w:val="20"/>
          <w:u w:val="single"/>
        </w:rPr>
        <w:t>GDPR</w:t>
      </w:r>
      <w:r>
        <w:rPr>
          <w:sz w:val="20"/>
        </w:rPr>
        <w:t>”) (EU 2016/679) (collectively, “</w:t>
      </w:r>
      <w:r>
        <w:rPr>
          <w:sz w:val="20"/>
          <w:u w:val="single"/>
        </w:rPr>
        <w:t>Privacy Laws</w:t>
      </w:r>
      <w:r>
        <w:rPr>
          <w:sz w:val="20"/>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sz w:val="20"/>
          <w:u w:val="single"/>
        </w:rPr>
        <w:t>Policies</w:t>
      </w:r>
      <w:r>
        <w:rPr>
          <w:sz w:val="20"/>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sz w:val="20"/>
          <w:u w:val="single"/>
        </w:rPr>
        <w:t>Personal Data</w:t>
      </w:r>
      <w:r>
        <w:rPr>
          <w:sz w:val="20"/>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(kk)           </w:t>
      </w:r>
      <w:r>
        <w:rPr>
          <w:sz w:val="20"/>
          <w:u w:val="single"/>
        </w:rPr>
        <w:t>Equity Incentive Plans</w:t>
      </w:r>
      <w:r>
        <w:rPr>
          <w:sz w:val="20"/>
        </w:rPr>
        <w:t>. Each share option granted by the Company under the Company’s equity incentive plan was granted (i) in accordance with the terms of the Company’s equity incentive plan and (ii) with an exercise price at least equal to the fair market value of the Ordinary Shares on the date such share option would be considered granted under IFRS and applicable law. No share option granted under the Company’s equity incentive plan has been backdated. The Company has not knowingly granted, and there is no and has been no Company policy or practice to knowingly grant, share options prior to, or otherwise knowingly coordinate the grant of share options with, the release or other public announcement of material information regarding the Company or its Subsidiaries or their financial results or prospects.</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(ll)              </w:t>
      </w:r>
      <w:r>
        <w:rPr>
          <w:sz w:val="20"/>
          <w:u w:val="single"/>
        </w:rPr>
        <w:t>Office of Foreign Assets Control</w:t>
      </w:r>
      <w:r>
        <w:rPr>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sz w:val="20"/>
          <w:u w:val="single"/>
        </w:rPr>
        <w:t>OFAC</w:t>
      </w:r>
      <w:r>
        <w:rPr>
          <w:sz w:val="20"/>
        </w:rPr>
        <w: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(mm)      </w:t>
      </w:r>
      <w:r>
        <w:rPr>
          <w:sz w:val="20"/>
          <w:u w:val="single"/>
        </w:rPr>
        <w:t>U.S. Real Property Holding Corporation</w:t>
      </w:r>
      <w:r>
        <w:rPr>
          <w:sz w:val="20"/>
        </w:rPr>
        <w:t>. The Company is not and has never been a U.S. real property holding corporation within the meaning of Section 897 of the Internal Revenue Code of 1986, as amended, and the Company shall so certify upon Purchaser’s request.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(nn)           </w:t>
      </w:r>
      <w:r>
        <w:rPr>
          <w:sz w:val="20"/>
          <w:u w:val="single"/>
        </w:rPr>
        <w:t>Bank Holding Company Act</w:t>
      </w:r>
      <w:r>
        <w:rPr>
          <w:sz w:val="20"/>
        </w:rPr>
        <w:t>. Neither the Company nor any of its Subsidiaries or Affiliates is subject to the Bank Holding Company Act of 1956, as amended (the “</w:t>
      </w:r>
      <w:r>
        <w:rPr>
          <w:sz w:val="20"/>
          <w:u w:val="single"/>
        </w:rPr>
        <w:t>BHCA</w:t>
      </w:r>
      <w:r>
        <w:rPr>
          <w:sz w:val="20"/>
        </w:rPr>
        <w:t>”) and to regulation by the Board of Governors of the Federal Reserve System (the “</w:t>
      </w:r>
      <w:r>
        <w:rPr>
          <w:sz w:val="20"/>
          <w:u w:val="single"/>
        </w:rPr>
        <w:t>Federal Reserve</w:t>
      </w:r>
      <w:r>
        <w:rPr>
          <w:sz w:val="20"/>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(oo)           </w:t>
      </w:r>
      <w:r>
        <w:rPr>
          <w:sz w:val="20"/>
          <w:u w:val="single"/>
        </w:rPr>
        <w:t>Money Laundering</w:t>
      </w:r>
      <w:r>
        <w:rPr>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sz w:val="20"/>
          <w:u w:val="single"/>
        </w:rPr>
        <w:t>Money Laundering Laws</w:t>
      </w:r>
      <w:r>
        <w:rPr>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720" w:right="0" w:firstLine="720"/>
        <w:jc w:val="both"/>
        <w:rPr/>
      </w:pPr>
      <w:r>
        <w:rPr/>
        <w:t> </w:t>
      </w:r>
    </w:p>
    <w:p>
      <w:pPr>
        <w:pStyle w:val="TextBody"/>
        <w:bidi w:val="0"/>
        <w:spacing w:before="0" w:after="0"/>
        <w:ind w:left="0" w:right="0" w:firstLine="720"/>
        <w:jc w:val="both"/>
        <w:rPr>
          <w:sz w:val="20"/>
        </w:rPr>
      </w:pPr>
      <w:r>
        <w:rPr>
          <w:sz w:val="20"/>
        </w:rPr>
        <w:t xml:space="preserve">3.2              </w:t>
      </w:r>
      <w:r>
        <w:rPr>
          <w:sz w:val="20"/>
          <w:u w:val="single"/>
        </w:rPr>
        <w:t>Representations and Warranties of the Purchasers</w:t>
      </w:r>
      <w:r>
        <w:rPr>
          <w:sz w:val="20"/>
        </w:rPr>
        <w:t>. Each Purchaser,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0" w:after="0"/>
        <w:ind w:left="0" w:right="0" w:firstLine="720"/>
        <w:jc w:val="both"/>
        <w:rPr/>
      </w:pPr>
      <w:r>
        <w:rPr/>
        <w:t> </w:t>
      </w:r>
    </w:p>
    <w:p>
      <w:pPr>
        <w:pStyle w:val="TextBody"/>
        <w:bidi w:val="0"/>
        <w:spacing w:before="0" w:after="0"/>
        <w:ind w:left="420" w:right="0" w:firstLine="1020"/>
        <w:jc w:val="both"/>
        <w:rPr>
          <w:sz w:val="20"/>
        </w:rPr>
      </w:pPr>
      <w:r>
        <w:rPr>
          <w:sz w:val="20"/>
        </w:rPr>
        <w:t xml:space="preserve">(a)               </w:t>
      </w:r>
      <w:r>
        <w:rPr>
          <w:sz w:val="20"/>
          <w:u w:val="single"/>
        </w:rPr>
        <w:t>Organization; Authority</w:t>
      </w:r>
      <w:r>
        <w:rPr>
          <w:sz w:val="20"/>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420" w:right="0" w:firstLine="10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420" w:right="0" w:firstLine="1020"/>
        <w:jc w:val="both"/>
        <w:rPr>
          <w:sz w:val="20"/>
        </w:rPr>
      </w:pPr>
      <w:r>
        <w:rPr>
          <w:sz w:val="20"/>
        </w:rPr>
        <w:t xml:space="preserve">(b)               </w:t>
      </w:r>
      <w:r>
        <w:rPr>
          <w:sz w:val="20"/>
          <w:u w:val="single"/>
        </w:rPr>
        <w:t>Understandings or Arrangements</w:t>
      </w:r>
      <w:r>
        <w:rPr>
          <w:sz w:val="20"/>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pStyle w:val="TextBody"/>
        <w:bidi w:val="0"/>
        <w:spacing w:before="0" w:after="0"/>
        <w:ind w:left="420" w:right="0" w:firstLine="1020"/>
        <w:jc w:val="both"/>
        <w:rPr/>
      </w:pPr>
      <w:r>
        <w:rPr/>
        <w:t> </w:t>
      </w:r>
    </w:p>
    <w:p>
      <w:pPr>
        <w:pStyle w:val="TextBody"/>
        <w:bidi w:val="0"/>
        <w:spacing w:before="0" w:after="0"/>
        <w:ind w:left="420" w:right="0" w:firstLine="720"/>
        <w:jc w:val="both"/>
        <w:rPr>
          <w:sz w:val="20"/>
        </w:rPr>
      </w:pPr>
      <w:r>
        <w:rPr>
          <w:sz w:val="20"/>
        </w:rPr>
        <w:t xml:space="preserve">(c) </w:t>
      </w:r>
      <w:r>
        <w:rPr>
          <w:sz w:val="20"/>
          <w:u w:val="single"/>
        </w:rPr>
        <w:t>Purchaser Status</w:t>
      </w:r>
      <w:r>
        <w:rPr>
          <w:sz w:val="20"/>
        </w:rPr>
        <w:t>. At the time such Purchaser was offered the Securities, it was, and as of the date hereof it is, and on each date on which it exercises any Warrants, it will be an “accredited investor” as defined in Rule 501(a)(1), (a)(2), (a)(3), (a)(7), (a)(8), (a)(9), (a)(12), or (a)(13) under the Securities Act.</w:t>
      </w:r>
    </w:p>
    <w:p>
      <w:pPr>
        <w:pStyle w:val="TextBody"/>
        <w:bidi w:val="0"/>
        <w:spacing w:before="0" w:after="0"/>
        <w:ind w:left="420" w:right="0" w:firstLine="720"/>
        <w:jc w:val="both"/>
        <w:rPr/>
      </w:pPr>
      <w:r>
        <w:rPr/>
        <w:t> </w:t>
      </w:r>
    </w:p>
    <w:p>
      <w:pPr>
        <w:pStyle w:val="TextBody"/>
        <w:bidi w:val="0"/>
        <w:spacing w:before="0" w:after="0"/>
        <w:ind w:left="420" w:right="0" w:firstLine="1020"/>
        <w:jc w:val="both"/>
        <w:rPr>
          <w:sz w:val="20"/>
        </w:rPr>
      </w:pPr>
      <w:r>
        <w:rPr>
          <w:sz w:val="20"/>
        </w:rPr>
        <w:t xml:space="preserve">(d)               </w:t>
      </w:r>
      <w:r>
        <w:rPr>
          <w:sz w:val="20"/>
          <w:u w:val="single"/>
        </w:rPr>
        <w:t>Experience of Such Purchaser</w:t>
      </w:r>
      <w:r>
        <w:rPr>
          <w:sz w:val="20"/>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pStyle w:val="TextBody"/>
        <w:bidi w:val="0"/>
        <w:spacing w:before="0" w:after="0"/>
        <w:ind w:left="420" w:right="0" w:firstLine="1020"/>
        <w:jc w:val="both"/>
        <w:rPr/>
      </w:pPr>
      <w:r>
        <w:rPr/>
        <w:t> </w:t>
      </w:r>
    </w:p>
    <w:p>
      <w:pPr>
        <w:pStyle w:val="TextBody"/>
        <w:bidi w:val="0"/>
        <w:spacing w:before="0" w:after="0"/>
        <w:ind w:left="420" w:right="0" w:firstLine="1020"/>
        <w:jc w:val="both"/>
        <w:rPr>
          <w:sz w:val="20"/>
        </w:rPr>
      </w:pPr>
      <w:r>
        <w:rPr>
          <w:sz w:val="20"/>
        </w:rPr>
        <w:t xml:space="preserve">(e)               </w:t>
      </w:r>
      <w:r>
        <w:rPr>
          <w:sz w:val="20"/>
          <w:u w:val="single"/>
        </w:rPr>
        <w:t>Access to Information</w:t>
      </w:r>
      <w:r>
        <w:rPr>
          <w:sz w:val="20"/>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pStyle w:val="TextBody"/>
        <w:bidi w:val="0"/>
        <w:spacing w:before="0" w:after="0"/>
        <w:ind w:left="420" w:right="0" w:firstLine="10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420" w:right="0" w:firstLine="1020"/>
        <w:jc w:val="both"/>
        <w:rPr>
          <w:sz w:val="20"/>
        </w:rPr>
      </w:pPr>
      <w:r>
        <w:rPr>
          <w:sz w:val="20"/>
        </w:rPr>
        <w:t xml:space="preserve">(f)                </w:t>
      </w:r>
      <w:r>
        <w:rPr>
          <w:sz w:val="20"/>
          <w:u w:val="single"/>
        </w:rPr>
        <w:t>Certain Transactions and Confidentiality</w:t>
      </w:r>
      <w:r>
        <w:rPr>
          <w:sz w:val="20"/>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420" w:right="0" w:firstLine="1020"/>
        <w:jc w:val="both"/>
        <w:rPr/>
      </w:pPr>
      <w:r>
        <w:rPr/>
        <w:t> </w:t>
      </w:r>
    </w:p>
    <w:p>
      <w:pPr>
        <w:pStyle w:val="TextBody"/>
        <w:bidi w:val="0"/>
        <w:spacing w:before="0" w:after="0"/>
        <w:ind w:left="0" w:right="0" w:hanging="0"/>
        <w:jc w:val="both"/>
        <w:rPr>
          <w:sz w:val="20"/>
        </w:rPr>
      </w:pPr>
      <w:r>
        <w:rPr>
          <w:sz w:val="20"/>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0" w:right="0" w:hanging="0"/>
        <w:jc w:val="both"/>
        <w:rPr/>
      </w:pPr>
      <w:r>
        <w:rPr/>
        <w:t> </w:t>
      </w:r>
    </w:p>
    <w:p>
      <w:pPr>
        <w:pStyle w:val="TextBody"/>
        <w:bidi w:val="0"/>
        <w:spacing w:before="0" w:after="0"/>
        <w:ind w:left="0" w:right="0" w:hanging="0"/>
        <w:jc w:val="center"/>
        <w:rPr>
          <w:sz w:val="20"/>
        </w:rPr>
      </w:pPr>
      <w:r>
        <w:rPr>
          <w:b/>
          <w:sz w:val="20"/>
        </w:rPr>
        <w:t>ARTICLE IV.</w:t>
      </w:r>
      <w:r>
        <w:rPr>
          <w:sz w:val="20"/>
        </w:rPr>
        <w:br/>
        <w:t>OTHER AGREEMENTS OF THE PARTIES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4.1              </w:t>
      </w:r>
      <w:r>
        <w:rPr>
          <w:sz w:val="20"/>
          <w:u w:val="single"/>
        </w:rPr>
        <w:t>Warrant Shares</w:t>
      </w:r>
      <w:r>
        <w:rPr>
          <w:sz w:val="20"/>
        </w:rPr>
        <w:t>. If all or any portion of a Warrant is exercised at a time when there is an effective registration statement to cover the issuance or resale of the Warrant Shares or if the Warrant is exercised via cashless exercise, the Warrant Shares issued pursuant to any such exercise shall be issued free of all legends. If at any time following the date hereof the Registration Statement (or any subsequent registration statement registering the sale or resale of the Warrant Shares) is not effective or is not otherwise available for the sale or resale of the Warrant Shares, the Company shall immediately notify the holders of the Warrants in writing that such registration statement is not then effective and thereafter shall promptly notify such holders when the registration statement is effective again and available for the sale or resale of the Warrant Shares (it being understood and agreed that the foregoing shall not limit the ability of the Company to issue, or any Purchaser to sell, any of the Warrant Shares in compliance with applicable federal and state securities laws). The Company shall use best efforts to keep a registration statement (including the Registration Statement) registering the issuance or resale of the Warrant Shares effective during the term of the Warrants.</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4.2              </w:t>
      </w:r>
      <w:r>
        <w:rPr>
          <w:sz w:val="20"/>
          <w:u w:val="single"/>
        </w:rPr>
        <w:t>Furnishing of Information</w:t>
      </w:r>
      <w:r>
        <w:rPr>
          <w:sz w:val="20"/>
        </w:rPr>
        <w:t>. Until the earliest of the time that (i) no Purchaser owns Securities or (ii) the Warrants have expired,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4.3              </w:t>
      </w:r>
      <w:r>
        <w:rPr>
          <w:sz w:val="20"/>
          <w:u w:val="single"/>
        </w:rPr>
        <w:t>Integration</w:t>
      </w:r>
      <w:r>
        <w:rPr>
          <w:sz w:val="20"/>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4.4              </w:t>
      </w:r>
      <w:r>
        <w:rPr>
          <w:sz w:val="20"/>
          <w:u w:val="single"/>
        </w:rPr>
        <w:t>Securities Laws Disclosure; Publicity</w:t>
      </w:r>
      <w:r>
        <w:rPr>
          <w:sz w:val="20"/>
        </w:rPr>
        <w:t>. The Company shall (a) by the Disclosure Time, issue a press release disclosing the material terms of the transactions contemplated hereby, and (b) file a Report on Form 6-K,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including, without limitation, the Placement Agent,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4.5              </w:t>
      </w:r>
      <w:r>
        <w:rPr>
          <w:sz w:val="20"/>
          <w:u w:val="single"/>
        </w:rPr>
        <w:t>Shareholder Rights Plan</w:t>
      </w:r>
      <w:r>
        <w:rPr>
          <w:sz w:val="20"/>
        </w:rPr>
        <w:t>. No claim will be made or enforced by the Company or, with the consent of the Company, any other Person, that any Purchaser is an “</w:t>
      </w:r>
      <w:r>
        <w:rPr>
          <w:sz w:val="20"/>
          <w:u w:val="single"/>
        </w:rPr>
        <w:t>Acquiring Person</w:t>
      </w:r>
      <w:r>
        <w:rPr>
          <w:sz w:val="20"/>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4.6              </w:t>
      </w:r>
      <w:r>
        <w:rPr>
          <w:sz w:val="20"/>
          <w:u w:val="single"/>
        </w:rPr>
        <w:t>Non-Public Information</w:t>
      </w:r>
      <w:r>
        <w:rPr>
          <w:sz w:val="20"/>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Report on Form 6-K. The Company understands and confirms that each Purchaser shall be relying on the foregoing covenant in effecting transactions in securities of the Company.</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4.7              </w:t>
      </w:r>
      <w:r>
        <w:rPr>
          <w:sz w:val="20"/>
          <w:u w:val="single"/>
        </w:rPr>
        <w:t>Use of Proceeds</w:t>
      </w:r>
      <w:r>
        <w:rPr>
          <w:sz w:val="20"/>
        </w:rPr>
        <w:t>.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Ordinary Shares or Ordinary Share Equivalents, (c) for the settlement of any outstanding litigation or (d) in violation of FCPA or OFAC regulations.</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4.8              </w:t>
      </w:r>
      <w:r>
        <w:rPr>
          <w:sz w:val="20"/>
          <w:u w:val="single"/>
        </w:rPr>
        <w:t>Indemnification of Purchasers</w:t>
      </w:r>
      <w:r>
        <w:rPr>
          <w:sz w:val="20"/>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shareholder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shareholder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made by a Purchaser Party in this Agreement or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4.9              </w:t>
      </w:r>
      <w:r>
        <w:rPr>
          <w:sz w:val="20"/>
          <w:u w:val="single"/>
        </w:rPr>
        <w:t>Reservation of Ordinary Shares</w:t>
      </w:r>
      <w:r>
        <w:rPr>
          <w:sz w:val="20"/>
        </w:rPr>
        <w:t>. As of the date hereof, the Company has reserved and the Company shall continue to reserve and keep available at all times, free of preemptive rights, a sufficient number of Ordinary Shares for the purpose of enabling the Company to issue Shares pursuant to this Agreement and Warrant Shares pursuant to any exercise of the Warrants.</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4.10          </w:t>
      </w:r>
      <w:r>
        <w:rPr>
          <w:sz w:val="20"/>
          <w:u w:val="single"/>
        </w:rPr>
        <w:t>Listing of Ordinary Shares</w:t>
      </w:r>
      <w:r>
        <w:rPr>
          <w:sz w:val="20"/>
        </w:rPr>
        <w:t>. The Company hereby agrees to use best efforts to maintain the listing or quotation of the Ordinary Shares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Ordinary Shares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Ordinary Shares on a Trading Market and will comply in all respects with the Company’s reporting, filing and other obligations under the bylaws or rules of the Trading Market. The Company agrees to maintain the eligibility of the Ordinary Shares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4.11          </w:t>
      </w:r>
      <w:r>
        <w:rPr>
          <w:sz w:val="20"/>
          <w:u w:val="single"/>
        </w:rPr>
        <w:t>Subsequent Equity Sales</w:t>
      </w:r>
      <w:r>
        <w:rPr>
          <w:sz w:val="20"/>
        </w:rPr>
        <w:t>.</w:t>
      </w:r>
    </w:p>
    <w:p>
      <w:pPr>
        <w:pStyle w:val="TextBody"/>
        <w:bidi w:val="0"/>
        <w:spacing w:before="0" w:after="0"/>
        <w:ind w:left="0" w:right="0" w:firstLine="720"/>
        <w:jc w:val="both"/>
        <w:rPr/>
      </w:pPr>
      <w:r>
        <w:rPr/>
        <w:t> </w:t>
      </w:r>
    </w:p>
    <w:p>
      <w:pPr>
        <w:pStyle w:val="TextBody"/>
        <w:bidi w:val="0"/>
        <w:spacing w:before="0" w:after="0"/>
        <w:ind w:left="720" w:right="0" w:firstLine="720"/>
        <w:jc w:val="both"/>
        <w:rPr>
          <w:sz w:val="20"/>
        </w:rPr>
      </w:pPr>
      <w:r>
        <w:rPr>
          <w:sz w:val="20"/>
        </w:rPr>
        <w:t>(a)               From the date hereof until thirty (30) days after the Closing Date, neither the Company nor any Subsidiary shall (i) issue, enter into any agreement to issue or announce the issuance or proposed issuance of any Ordinary Shares or Ordinary Share Equivalents or (ii) file any registration statement or amendment or supplement thereto, other than the Prospectus Supplement or filing a registration statement on Form S-8 in connection with any employee benefit plan.</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(b)               From the date hereof until one (1) year after the Closing Date, the Company shall be prohibited from effecting or entering into an agreement to effect any issuance by the Company or any of its Subsidiaries of Ordinary Shares or Ordinary Share Equivalents (or a combination of units thereof) involving a Variable Rate Transaction. “</w:t>
      </w:r>
      <w:r>
        <w:rPr>
          <w:sz w:val="20"/>
          <w:u w:val="single"/>
        </w:rPr>
        <w:t>Variable Rate Transaction</w:t>
      </w:r>
      <w:r>
        <w:rPr>
          <w:sz w:val="20"/>
        </w:rPr>
        <w:t xml:space="preserve">” means a transaction in which the Company (i) issues or sells any debt or equity securities that are convertible into, exchangeable or exercisable for, or include the right to receive additional Ordinary Shares either (A) at a conversion price, exercise price or exchange rate or other price that is based upon and/or varies with the trading prices of or quotations for the Ordinary Shares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Ordinary Shares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w:t>
      </w:r>
      <w:r>
        <w:rPr>
          <w:sz w:val="20"/>
          <w:u w:val="single"/>
        </w:rPr>
        <w:t>provided</w:t>
      </w:r>
      <w:r>
        <w:rPr>
          <w:sz w:val="20"/>
        </w:rPr>
        <w:t xml:space="preserve">, </w:t>
      </w:r>
      <w:r>
        <w:rPr>
          <w:sz w:val="20"/>
          <w:u w:val="single"/>
        </w:rPr>
        <w:t>however</w:t>
      </w:r>
      <w:r>
        <w:rPr>
          <w:sz w:val="20"/>
        </w:rPr>
        <w:t>, that, after the expiration of the prohibition period in Section 4.11(a) above, (i) the issuance of Ordinary Shares pursuant to the Company’s existing “at the market” offering with Chardan Capital Markets, LLC shall not be deemed a Variable Rate Transaction and (ii) the entry into and/or issuance of Ordinary Shares in an “at the market” offering with the Placement Agent as sales agent shall not be deemed a Variable Rate Transaction. Any Purchaser shall be entitled to obtain injunctive relief against the Company to preclude any such issuance, which remedy shall be in addition to any right to collect damages.</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(c)               Notwithstanding the foregoing, this Section 4.11 shall not apply in respect of an Exempt Issuance, except that no Variable Rate Transaction shall be an Exempt Issuance.</w:t>
      </w:r>
    </w:p>
    <w:p>
      <w:pPr>
        <w:pStyle w:val="TextBody"/>
        <w:bidi w:val="0"/>
        <w:spacing w:before="0" w:after="0"/>
        <w:ind w:left="720" w:right="0" w:firstLine="720"/>
        <w:jc w:val="both"/>
        <w:rPr/>
      </w:pPr>
      <w:r>
        <w:rPr/>
        <w:t> </w:t>
      </w:r>
    </w:p>
    <w:p>
      <w:pPr>
        <w:pStyle w:val="TextBody"/>
        <w:bidi w:val="0"/>
        <w:spacing w:before="0" w:after="0"/>
        <w:ind w:left="0" w:right="0" w:firstLine="720"/>
        <w:jc w:val="both"/>
        <w:rPr>
          <w:sz w:val="20"/>
        </w:rPr>
      </w:pPr>
      <w:r>
        <w:rPr>
          <w:sz w:val="20"/>
        </w:rPr>
        <w:t xml:space="preserve">4.12          </w:t>
      </w:r>
      <w:r>
        <w:rPr>
          <w:sz w:val="20"/>
          <w:u w:val="single"/>
        </w:rPr>
        <w:t>Equal Treatment of Purchasers</w:t>
      </w:r>
      <w:r>
        <w:rPr>
          <w:sz w:val="20"/>
        </w:rPr>
        <w:t>.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4.13          </w:t>
      </w:r>
      <w:r>
        <w:rPr>
          <w:sz w:val="20"/>
          <w:u w:val="single"/>
        </w:rPr>
        <w:t>Certain Transactions and Confidentiality</w:t>
      </w:r>
      <w:r>
        <w:rPr>
          <w:sz w:val="20"/>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4.14          </w:t>
      </w:r>
      <w:r>
        <w:rPr>
          <w:sz w:val="20"/>
          <w:u w:val="single"/>
        </w:rPr>
        <w:t>Exercise Procedures</w:t>
      </w:r>
      <w:r>
        <w:rPr>
          <w:sz w:val="20"/>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pStyle w:val="TextBody"/>
        <w:bidi w:val="0"/>
        <w:spacing w:before="0" w:after="0"/>
        <w:ind w:left="0" w:right="0" w:firstLine="720"/>
        <w:jc w:val="both"/>
        <w:rPr/>
      </w:pPr>
      <w:r>
        <w:rPr/>
        <w:t> </w:t>
      </w:r>
    </w:p>
    <w:p>
      <w:pPr>
        <w:pStyle w:val="TextBody"/>
        <w:bidi w:val="0"/>
        <w:spacing w:before="0" w:after="0"/>
        <w:ind w:left="0" w:right="0" w:hanging="0"/>
        <w:jc w:val="center"/>
        <w:rPr>
          <w:sz w:val="20"/>
        </w:rPr>
      </w:pPr>
      <w:r>
        <w:rPr>
          <w:b/>
          <w:sz w:val="20"/>
        </w:rPr>
        <w:t>ARTICLE V.</w:t>
      </w:r>
      <w:r>
        <w:rPr>
          <w:sz w:val="20"/>
        </w:rPr>
        <w:br/>
        <w:t>MISCELLANEOUS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5.1              </w:t>
      </w:r>
      <w:r>
        <w:rPr>
          <w:sz w:val="20"/>
          <w:u w:val="single"/>
        </w:rPr>
        <w:t>Termination</w:t>
      </w:r>
      <w:r>
        <w:rPr>
          <w:sz w:val="20"/>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w:t>
      </w:r>
      <w:r>
        <w:rPr>
          <w:position w:val="7"/>
          <w:sz w:val="16"/>
          <w:sz w:val="20"/>
        </w:rPr>
        <w:t>th</w:t>
      </w:r>
      <w:r>
        <w:rPr>
          <w:sz w:val="20"/>
        </w:rPr>
        <w:t xml:space="preserve">) Trading Day following the date hereof; </w:t>
      </w:r>
      <w:r>
        <w:rPr>
          <w:sz w:val="20"/>
          <w:u w:val="single"/>
        </w:rPr>
        <w:t>provided</w:t>
      </w:r>
      <w:r>
        <w:rPr>
          <w:sz w:val="20"/>
        </w:rPr>
        <w:t xml:space="preserve">, </w:t>
      </w:r>
      <w:r>
        <w:rPr>
          <w:sz w:val="20"/>
          <w:u w:val="single"/>
        </w:rPr>
        <w:t>however</w:t>
      </w:r>
      <w:r>
        <w:rPr>
          <w:sz w:val="20"/>
        </w:rPr>
        <w:t>, that no such termination will affect the right of any party to sue for any breach by any other party (or parties).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5.2              </w:t>
      </w:r>
      <w:r>
        <w:rPr>
          <w:sz w:val="20"/>
          <w:u w:val="single"/>
        </w:rPr>
        <w:t>Fees and Expenses</w:t>
      </w:r>
      <w:r>
        <w:rPr>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5.3              </w:t>
      </w:r>
      <w:r>
        <w:rPr>
          <w:sz w:val="20"/>
          <w:u w:val="single"/>
        </w:rPr>
        <w:t>Entire Agreement</w:t>
      </w:r>
      <w:r>
        <w:rPr>
          <w:sz w:val="20"/>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5.4              </w:t>
      </w:r>
      <w:r>
        <w:rPr>
          <w:sz w:val="20"/>
          <w:u w:val="single"/>
        </w:rPr>
        <w:t>Notices</w:t>
      </w:r>
      <w:r>
        <w:rPr>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position w:val="7"/>
          <w:sz w:val="16"/>
          <w:sz w:val="20"/>
        </w:rPr>
        <w:t>nd</w:t>
      </w:r>
      <w:r>
        <w:rPr>
          <w:sz w:val="20"/>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5.5              </w:t>
      </w:r>
      <w:r>
        <w:rPr>
          <w:sz w:val="20"/>
          <w:u w:val="single"/>
        </w:rPr>
        <w:t>Amendments; Waivers</w:t>
      </w:r>
      <w:r>
        <w:rPr>
          <w:sz w:val="20"/>
        </w:rPr>
        <w:t>. No provision of this Agreement may be waived, modified, supplemented or amended except in a written instrument signed, in the case of an amendment, by the Company and Purchasers which purchased at least 50.1% in interest of the Shares and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multiple Purchasers), the consent of such disproportionately impacted Purchaser (or at least 50.1% in interest of such multiple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5.6              </w:t>
      </w:r>
      <w:r>
        <w:rPr>
          <w:sz w:val="20"/>
          <w:u w:val="single"/>
        </w:rPr>
        <w:t>Headings</w:t>
      </w:r>
      <w:r>
        <w:rPr>
          <w:sz w:val="20"/>
        </w:rPr>
        <w:t>. The headings herein are for convenience only, do not constitute a part of this Agreement and shall not be deemed to limit or affect any of the provisions hereof.</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5.7              </w:t>
      </w:r>
      <w:r>
        <w:rPr>
          <w:sz w:val="20"/>
          <w:u w:val="single"/>
        </w:rPr>
        <w:t>Successors and Assigns</w:t>
      </w:r>
      <w:r>
        <w:rPr>
          <w:sz w:val="20"/>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5.8              </w:t>
      </w:r>
      <w:r>
        <w:rPr>
          <w:sz w:val="20"/>
          <w:u w:val="single"/>
        </w:rPr>
        <w:t>No Third-Party Beneficiaries</w:t>
      </w:r>
      <w:r>
        <w:rPr>
          <w:sz w:val="20"/>
        </w:rPr>
        <w:t>. The Placement Agent shall be the third 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5.9              </w:t>
      </w:r>
      <w:r>
        <w:rPr>
          <w:sz w:val="20"/>
          <w:u w:val="single"/>
        </w:rPr>
        <w:t>Governing Law</w:t>
      </w:r>
      <w:r>
        <w:rPr>
          <w:sz w:val="20"/>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5.10          </w:t>
      </w:r>
      <w:r>
        <w:rPr>
          <w:sz w:val="20"/>
          <w:u w:val="single"/>
        </w:rPr>
        <w:t>Survival</w:t>
      </w:r>
      <w:r>
        <w:rPr>
          <w:sz w:val="20"/>
        </w:rPr>
        <w:t>. The representations and warranties contained herein shall survive the Closing and the delivery of the Securities.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5.11          </w:t>
      </w:r>
      <w:r>
        <w:rPr>
          <w:sz w:val="20"/>
          <w:u w:val="single"/>
        </w:rPr>
        <w:t>Execution</w:t>
      </w:r>
      <w:r>
        <w:rPr>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5.12          </w:t>
      </w:r>
      <w:r>
        <w:rPr>
          <w:sz w:val="20"/>
          <w:u w:val="single"/>
        </w:rPr>
        <w:t>Severability</w:t>
      </w:r>
      <w:r>
        <w:rPr>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5.13          </w:t>
      </w:r>
      <w:r>
        <w:rPr>
          <w:sz w:val="20"/>
          <w:u w:val="single"/>
        </w:rPr>
        <w:t>Rescission and Withdrawal Right</w:t>
      </w:r>
      <w:r>
        <w:rPr>
          <w:sz w:val="20"/>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sz w:val="20"/>
          <w:u w:val="single"/>
        </w:rPr>
        <w:t>provided</w:t>
      </w:r>
      <w:r>
        <w:rPr>
          <w:sz w:val="20"/>
        </w:rPr>
        <w:t xml:space="preserve">, </w:t>
      </w:r>
      <w:r>
        <w:rPr>
          <w:sz w:val="20"/>
          <w:u w:val="single"/>
        </w:rPr>
        <w:t>however</w:t>
      </w:r>
      <w:r>
        <w:rPr>
          <w:sz w:val="20"/>
        </w:rPr>
        <w:t>, that, in the case of a rescission of an exercise of a Warrant, the applicable Purchaser shall be required to return any Ordinary Shares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5.14          </w:t>
      </w:r>
      <w:r>
        <w:rPr>
          <w:sz w:val="20"/>
          <w:u w:val="single"/>
        </w:rPr>
        <w:t>Replacement of Securities</w:t>
      </w:r>
      <w:r>
        <w:rPr>
          <w:sz w:val="20"/>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5.15          </w:t>
      </w:r>
      <w:r>
        <w:rPr>
          <w:sz w:val="20"/>
          <w:u w:val="single"/>
        </w:rPr>
        <w:t>Remedies</w:t>
      </w:r>
      <w:r>
        <w:rPr>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5.16          </w:t>
      </w:r>
      <w:r>
        <w:rPr>
          <w:sz w:val="20"/>
          <w:u w:val="single"/>
        </w:rPr>
        <w:t>Payment Set Aside</w:t>
      </w:r>
      <w:r>
        <w:rPr>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5.17          </w:t>
      </w:r>
      <w:r>
        <w:rPr>
          <w:sz w:val="20"/>
          <w:u w:val="single"/>
        </w:rPr>
        <w:t>Independent Nature of Purchasers’ Obligations and Rights</w:t>
      </w:r>
      <w:r>
        <w:rPr>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5.18          </w:t>
      </w:r>
      <w:r>
        <w:rPr>
          <w:sz w:val="20"/>
          <w:u w:val="single"/>
        </w:rPr>
        <w:t>Liquidated Damages</w:t>
      </w:r>
      <w:r>
        <w:rPr>
          <w:sz w:val="20"/>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5.19          </w:t>
      </w:r>
      <w:r>
        <w:rPr>
          <w:sz w:val="20"/>
          <w:u w:val="single"/>
        </w:rPr>
        <w:t>Saturdays, Sundays, Holidays, etc.</w:t>
      </w:r>
      <w:r>
        <w:rPr>
          <w:sz w:val="20"/>
        </w:rPr>
        <w:tab/>
        <w:t>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5.20          </w:t>
      </w:r>
      <w:r>
        <w:rPr>
          <w:sz w:val="20"/>
          <w:u w:val="single"/>
        </w:rPr>
        <w:t>Construction</w:t>
      </w:r>
      <w:r>
        <w:rPr>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Ordinary Shares in any Transaction Document shall be subject to adjustment for reverse and forward share subdivisions, share capitalizations, share consolidations and other similar transactions of the Ordinary Shares that occur after the date of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5.21          </w:t>
      </w:r>
      <w:r>
        <w:rPr>
          <w:b/>
          <w:sz w:val="20"/>
          <w:u w:val="single"/>
        </w:rPr>
        <w:t>WAIVER OF JURY TRIAL</w:t>
      </w:r>
      <w:r>
        <w:rPr>
          <w:b/>
          <w:sz w:val="20"/>
        </w:rPr>
        <w:t xml:space="preserve">. </w:t>
      </w:r>
      <w:r>
        <w:rPr>
          <w:b/>
          <w:sz w:val="20"/>
          <w:u w:val="single"/>
        </w:rPr>
        <w:t xml:space="preserve">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 </w:t>
      </w:r>
    </w:p>
    <w:p>
      <w:pPr>
        <w:pStyle w:val="TextBody"/>
        <w:bidi w:val="0"/>
        <w:spacing w:before="0" w:after="0"/>
        <w:ind w:left="0" w:right="0" w:firstLine="72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i/>
          <w:sz w:val="20"/>
        </w:rPr>
      </w:pPr>
      <w:r>
        <w:rPr>
          <w:i/>
          <w:sz w:val="20"/>
        </w:rPr>
        <w:t>(Signature Pages Follow)</w:t>
      </w:r>
    </w:p>
    <w:p>
      <w:pPr>
        <w:pStyle w:val="TextBody"/>
        <w:bidi w:val="0"/>
        <w:spacing w:before="0" w:after="0"/>
        <w:ind w:left="0" w:right="0" w:hanging="0"/>
        <w:jc w:val="center"/>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firstLine="720"/>
        <w:jc w:val="both"/>
        <w:rPr/>
      </w:pPr>
      <w:r>
        <w:rPr/>
        <w:t> </w:t>
      </w:r>
    </w:p>
    <w:p>
      <w:pPr>
        <w:pStyle w:val="TextBody"/>
        <w:bidi w:val="0"/>
        <w:spacing w:before="0" w:after="0"/>
        <w:ind w:left="0" w:right="0" w:hanging="0"/>
        <w:jc w:val="left"/>
        <w:rPr/>
      </w:pPr>
      <w:r>
        <w:rPr/>
        <w:t> </w:t>
      </w:r>
    </w:p>
    <w:tbl>
      <w:tblPr>
        <w:tblW w:w="6340" w:type="dxa"/>
        <w:jc w:val="left"/>
        <w:tblInd w:w="0" w:type="dxa"/>
        <w:tblLayout w:type="fixed"/>
        <w:tblCellMar>
          <w:top w:w="0" w:type="dxa"/>
          <w:left w:w="0" w:type="dxa"/>
          <w:bottom w:w="0" w:type="dxa"/>
          <w:right w:w="0" w:type="dxa"/>
        </w:tblCellMar>
      </w:tblPr>
      <w:tblGrid>
        <w:gridCol w:w="4745"/>
        <w:gridCol w:w="1595"/>
      </w:tblGrid>
      <w:tr>
        <w:trPr/>
        <w:tc>
          <w:tcPr>
            <w:tcW w:w="4745" w:type="dxa"/>
            <w:tcBorders/>
            <w:vAlign w:val="center"/>
          </w:tcPr>
          <w:p>
            <w:pPr>
              <w:pStyle w:val="TableContents"/>
              <w:bidi w:val="0"/>
              <w:spacing w:before="0" w:after="0"/>
              <w:ind w:left="0" w:right="0" w:hanging="0"/>
              <w:jc w:val="left"/>
              <w:rPr>
                <w:b/>
                <w:caps/>
                <w:sz w:val="20"/>
              </w:rPr>
            </w:pPr>
            <w:r>
              <w:rPr>
                <w:b/>
                <w:caps/>
                <w:sz w:val="20"/>
              </w:rPr>
              <w:t>AlphaTON Capital Corp</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283"/>
              <w:jc w:val="left"/>
              <w:rPr>
                <w:sz w:val="20"/>
                <w:u w:val="single"/>
              </w:rPr>
            </w:pPr>
            <w:r>
              <w:rPr>
                <w:sz w:val="20"/>
                <w:u w:val="single"/>
              </w:rPr>
              <w:t>Address for Notice:</w:t>
            </w:r>
          </w:p>
        </w:tc>
      </w:tr>
      <w:tr>
        <w:trPr/>
        <w:tc>
          <w:tcPr>
            <w:tcW w:w="4745" w:type="dxa"/>
            <w:tcBorders/>
            <w:vAlign w:val="center"/>
          </w:tcPr>
          <w:p>
            <w:pPr>
              <w:pStyle w:val="TableContents"/>
              <w:bidi w:val="0"/>
              <w:spacing w:before="0" w:after="0"/>
              <w:ind w:left="0" w:right="0" w:hanging="0"/>
              <w:jc w:val="left"/>
              <w:rPr>
                <w:sz w:val="20"/>
              </w:rPr>
            </w:pPr>
            <w:r>
              <w:rPr>
                <w:sz w:val="20"/>
              </w:rPr>
              <w:t>By:__________________________________________</w:t>
            </w:r>
          </w:p>
          <w:p>
            <w:pPr>
              <w:pStyle w:val="TableContents"/>
              <w:bidi w:val="0"/>
              <w:spacing w:before="0" w:after="0"/>
              <w:ind w:left="0" w:right="0" w:firstLine="360"/>
              <w:jc w:val="left"/>
              <w:rPr>
                <w:sz w:val="20"/>
              </w:rPr>
            </w:pPr>
            <w:r>
              <w:rPr>
                <w:sz w:val="20"/>
              </w:rPr>
              <w:t>Name:</w:t>
            </w:r>
          </w:p>
          <w:p>
            <w:pPr>
              <w:pStyle w:val="TableContents"/>
              <w:bidi w:val="0"/>
              <w:spacing w:before="0" w:after="0"/>
              <w:ind w:left="0" w:right="0" w:firstLine="360"/>
              <w:jc w:val="left"/>
              <w:rPr>
                <w:sz w:val="20"/>
              </w:rPr>
            </w:pPr>
            <w:r>
              <w:rPr>
                <w:sz w:val="20"/>
              </w:rPr>
              <w:t>Title:</w:t>
            </w:r>
          </w:p>
          <w:p>
            <w:pPr>
              <w:pStyle w:val="TableContents"/>
              <w:bidi w:val="0"/>
              <w:spacing w:before="0" w:after="0"/>
              <w:ind w:left="0" w:right="0" w:hanging="0"/>
              <w:jc w:val="left"/>
              <w:rPr>
                <w:sz w:val="20"/>
              </w:rPr>
            </w:pPr>
            <w:r>
              <w:rPr>
                <w:sz w:val="20"/>
              </w:rPr>
              <w:t>With a copy to (which shall not constitute notice):</w:t>
            </w:r>
          </w:p>
        </w:tc>
        <w:tc>
          <w:tcPr>
            <w:tcW w:w="1595"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sz w:val="20"/>
              </w:rPr>
            </w:pPr>
            <w:r>
              <w:rPr>
                <w:sz w:val="20"/>
              </w:rPr>
              <w:t>E-Mail:</w:t>
            </w:r>
          </w:p>
          <w:p>
            <w:pPr>
              <w:pStyle w:val="TableContents"/>
              <w:bidi w:val="0"/>
              <w:spacing w:before="0" w:after="0"/>
              <w:ind w:left="0" w:right="0" w:hanging="0"/>
              <w:jc w:val="left"/>
              <w:rPr/>
            </w:pPr>
            <w:r>
              <w:rPr/>
              <w:t> </w:t>
            </w:r>
          </w:p>
        </w:tc>
      </w:tr>
      <w:tr>
        <w:trPr/>
        <w:tc>
          <w:tcPr>
            <w:tcW w:w="4745"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sz w:val="20"/>
        </w:rPr>
      </w:pPr>
      <w:r>
        <w:rPr>
          <w:sz w:val="20"/>
        </w:rPr>
        <w:t>[REMAINDER OF PAGE INTENTIONALLY LEFT BLANK</w:t>
      </w:r>
    </w:p>
    <w:p>
      <w:pPr>
        <w:pStyle w:val="TextBody"/>
        <w:bidi w:val="0"/>
        <w:spacing w:before="0" w:after="0"/>
        <w:ind w:left="0" w:right="0" w:hanging="0"/>
        <w:jc w:val="center"/>
        <w:rPr>
          <w:sz w:val="20"/>
        </w:rPr>
      </w:pPr>
      <w:r>
        <w:rPr>
          <w:sz w:val="20"/>
        </w:rPr>
        <w:t>SIGNATURE PAGE FOR PURCHASER FOLLOWS]</w:t>
      </w:r>
    </w:p>
    <w:p>
      <w:pPr>
        <w:pStyle w:val="TextBody"/>
        <w:bidi w:val="0"/>
        <w:spacing w:before="0" w:after="0"/>
        <w:ind w:left="0" w:right="0" w:hanging="0"/>
        <w:jc w:val="center"/>
        <w:rPr>
          <w:sz w:val="20"/>
        </w:rPr>
      </w:pPr>
      <w:r>
        <w:rPr>
          <w:sz w:val="20"/>
        </w:rPr>
        <w:t>[PURCHASER SIGNATURE PAGES TO ATON SECURITIES PURCHASE AGREEMENT]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IN WITNESS WHEREOF, the undersigned have caused this Securities Purchase Agreement to be duly executed by their respective authorized signatories as of the date first indicated above.</w:t>
      </w:r>
    </w:p>
    <w:p>
      <w:pPr>
        <w:pStyle w:val="TextBody"/>
        <w:bidi w:val="0"/>
        <w:spacing w:before="0" w:after="0"/>
        <w:ind w:left="0" w:right="0" w:firstLine="720"/>
        <w:jc w:val="both"/>
        <w:rPr/>
      </w:pPr>
      <w:r>
        <w:rPr/>
        <w:t> </w:t>
      </w:r>
    </w:p>
    <w:p>
      <w:pPr>
        <w:pStyle w:val="TextBody"/>
        <w:bidi w:val="0"/>
        <w:spacing w:before="0" w:after="0"/>
        <w:ind w:left="0" w:right="0" w:hanging="0"/>
        <w:jc w:val="both"/>
        <w:rPr>
          <w:sz w:val="20"/>
        </w:rPr>
      </w:pPr>
      <w:r>
        <w:rPr>
          <w:sz w:val="20"/>
        </w:rPr>
        <w:t>Name of Purchaser: ________________________________________________________</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Signature of Authorized Signatory of Purchaser</w:t>
      </w:r>
      <w:r>
        <w:rPr>
          <w:sz w:val="20"/>
        </w:rPr>
        <w:t>: _________________________________</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Name of Authorized Signatory: _______________________________________________</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Title of Authorized Signatory: ________________________________________________</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Email Address of Authorized Signatory: _________________________________________</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Address for Notice to Purchaser:</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Address for Delivery of Warrants to Purchaser (if not same as address for notice):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Subscription Amount: $_________________</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Shares: _________________</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Pre-Funded Warrants: ___________ Beneficial Ownership Blocker ☐ 4.99% or ☐ 9.99%</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EIN Number: ____________________</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xml:space="preserve">☐ </w:t>
      </w:r>
      <w:r>
        <w:rPr>
          <w:sz w:val="20"/>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on the first (1</w:t>
      </w:r>
      <w:r>
        <w:rPr>
          <w:position w:val="7"/>
          <w:sz w:val="16"/>
          <w:sz w:val="20"/>
        </w:rPr>
        <w:t>st</w:t>
      </w:r>
      <w:r>
        <w:rPr>
          <w:sz w:val="20"/>
        </w:rPr>
        <w:t>) Trading Day following the date of this Agreement (or the second (2nd) Trading Day following the date of this Agreement if this Agreement is signed on a day that is not a Trading Day or after 4:00 p.m. (New York City time) and before midnight (New York City time) on a Trading Day)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[SIGNATURE PAGES CONTINUE]</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37</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right"/>
        <w:rPr>
          <w:b/>
          <w:sz w:val="20"/>
        </w:rPr>
      </w:pPr>
      <w:bookmarkStart w:id="6" w:name="a_005"/>
      <w:bookmarkEnd w:id="6"/>
      <w:r>
        <w:rPr>
          <w:b/>
          <w:sz w:val="20"/>
        </w:rPr>
        <w:t>Exhibit 99.1</w:t>
      </w:r>
    </w:p>
    <w:p>
      <w:pPr>
        <w:pStyle w:val="TextBody"/>
        <w:bidi w:val="0"/>
        <w:spacing w:before="0" w:after="283"/>
        <w:jc w:val="left"/>
        <w:rPr/>
      </w:pPr>
      <w:r>
        <w:rPr/>
        <w:t> </w:t>
      </w:r>
    </w:p>
    <w:p>
      <w:pPr>
        <w:pStyle w:val="TextBody"/>
        <w:bidi w:val="0"/>
        <w:jc w:val="center"/>
        <w:rPr>
          <w:b/>
          <w:sz w:val="20"/>
        </w:rPr>
      </w:pPr>
      <w:r>
        <w:rPr>
          <w:b/>
          <w:sz w:val="20"/>
        </w:rPr>
        <w:t xml:space="preserve">AlphaTON Capital Corp Announces $15 Million Registered Direct Offering </w:t>
      </w:r>
    </w:p>
    <w:p>
      <w:pPr>
        <w:pStyle w:val="TextBody"/>
        <w:bidi w:val="0"/>
        <w:spacing w:before="0" w:after="283"/>
        <w:jc w:val="left"/>
        <w:rPr/>
      </w:pPr>
      <w:r>
        <w:rPr/>
        <w:t> </w:t>
      </w:r>
    </w:p>
    <w:p>
      <w:pPr>
        <w:pStyle w:val="TextBody"/>
        <w:bidi w:val="0"/>
        <w:jc w:val="both"/>
        <w:rPr>
          <w:sz w:val="20"/>
        </w:rPr>
      </w:pPr>
      <w:r>
        <w:rPr>
          <w:sz w:val="20"/>
        </w:rPr>
        <w:t>New York, NY, Jan. 13, 2026 (GLOBE NEWSWIRE) -- AlphaTON Capital Corp (NASDAQ: ATON) (“AlphaTON” or the “Company”), the world’s leading public technology company scaling the Telegram super app, with an addressable market of 1 billion monthly active users, today announced that it has entered into a definitive agreement for the purchase of an aggregate of 15,000,000 of its ordinary shares (or pre-funded warrants in lieu thereof), at a purchase price of $1.00 per ordinary share (or pre-funded warrant in lieu thereof) in a registered direct offering. The closing of the offering is expected to occur on or about January 14, 2026, subject to satisfaction of customary closing conditions.</w:t>
      </w:r>
    </w:p>
    <w:p>
      <w:pPr>
        <w:pStyle w:val="TextBody"/>
        <w:bidi w:val="0"/>
        <w:jc w:val="both"/>
        <w:rPr/>
      </w:pPr>
      <w:r>
        <w:rPr/>
        <w:t> </w:t>
      </w:r>
    </w:p>
    <w:p>
      <w:pPr>
        <w:pStyle w:val="TextBody"/>
        <w:bidi w:val="0"/>
        <w:jc w:val="both"/>
        <w:rPr>
          <w:sz w:val="20"/>
        </w:rPr>
      </w:pPr>
      <w:r>
        <w:rPr>
          <w:sz w:val="20"/>
        </w:rPr>
        <w:t>H.C. Wainwright &amp; Co. is acting as the exclusive placement agent for the offering.</w:t>
      </w:r>
    </w:p>
    <w:p>
      <w:pPr>
        <w:pStyle w:val="TextBody"/>
        <w:bidi w:val="0"/>
        <w:jc w:val="both"/>
        <w:rPr/>
      </w:pPr>
      <w:r>
        <w:rPr/>
        <w:t> </w:t>
      </w:r>
    </w:p>
    <w:p>
      <w:pPr>
        <w:pStyle w:val="TextBody"/>
        <w:bidi w:val="0"/>
        <w:jc w:val="both"/>
        <w:rPr>
          <w:sz w:val="20"/>
        </w:rPr>
      </w:pPr>
      <w:r>
        <w:rPr>
          <w:sz w:val="20"/>
        </w:rPr>
        <w:t>The aggregate gross proceeds to the Company from the offering are expected to be $15 million, before deducting the placement agent fees and other offering expenses payable by the Company. The Company currently intends to use the net proceeds from the offering for scaling GPU deployments for Cocoon AI, working capital and general corporate purposes.</w:t>
      </w:r>
    </w:p>
    <w:p>
      <w:pPr>
        <w:pStyle w:val="TextBody"/>
        <w:bidi w:val="0"/>
        <w:jc w:val="both"/>
        <w:rPr/>
      </w:pPr>
      <w:r>
        <w:rPr/>
        <w:t> </w:t>
      </w:r>
    </w:p>
    <w:p>
      <w:pPr>
        <w:pStyle w:val="TextBody"/>
        <w:bidi w:val="0"/>
        <w:jc w:val="both"/>
        <w:rPr>
          <w:sz w:val="20"/>
        </w:rPr>
      </w:pPr>
      <w:r>
        <w:rPr>
          <w:sz w:val="20"/>
        </w:rPr>
        <w:t>The securities described above are being offered pursuant to a “shelf” registration statement (File No. 333-291921) filed with the Securities and Exchange Commission (“SEC”) on December 3, 2025 and declared effective on December 11, 2025. The offering is being made only by means of a prospectus, including a prospectus supplement, forming a part of the effective registration statement. The prospectus supplement and the accompanying prospectus relating to the securities being offered will be filed with the SEC and be available at the SEC’s website at www.sec.gov. Electronic copies of the prospectus supplement and the accompanying prospectus relating to the securities being offered may also be obtained, when available, by contacting H.C. Wainwright &amp; Co., LLC at 430 Park Avenue, 3rd Floor, New York, NY 10022, by telephone at (212) 856-5711 or e-mail at placements@hcwco.com.</w:t>
      </w:r>
    </w:p>
    <w:p>
      <w:pPr>
        <w:pStyle w:val="TextBody"/>
        <w:bidi w:val="0"/>
        <w:jc w:val="both"/>
        <w:rPr/>
      </w:pPr>
      <w:r>
        <w:rPr/>
        <w:t>  </w:t>
      </w:r>
    </w:p>
    <w:p>
      <w:pPr>
        <w:pStyle w:val="TextBody"/>
        <w:bidi w:val="0"/>
        <w:jc w:val="both"/>
        <w:rPr>
          <w:sz w:val="20"/>
        </w:rPr>
      </w:pPr>
      <w:r>
        <w:rPr>
          <w:sz w:val="20"/>
        </w:rPr>
        <w:t>This press release shall not constitute an offer to sell or the solicitation of an offer to buy any of the securities described herein, nor shall there be any sale of these securities in any state or jurisdiction in which such offer, solicitation or sale would be unlawful prior to the registration or qualification under the securities laws of any such state or jurisdiction.</w:t>
      </w:r>
    </w:p>
    <w:p>
      <w:pPr>
        <w:pStyle w:val="TextBody"/>
        <w:bidi w:val="0"/>
        <w:spacing w:before="0" w:after="283"/>
        <w:jc w:val="left"/>
        <w:rPr/>
      </w:pPr>
      <w:r>
        <w:rPr/>
        <w:t> </w:t>
      </w:r>
    </w:p>
    <w:p>
      <w:pPr>
        <w:pStyle w:val="TextBody"/>
        <w:bidi w:val="0"/>
        <w:spacing w:before="0" w:after="120"/>
        <w:jc w:val="left"/>
        <w:rPr>
          <w:b/>
          <w:sz w:val="20"/>
        </w:rPr>
      </w:pPr>
      <w:r>
        <w:rPr>
          <w:b/>
          <w:sz w:val="20"/>
        </w:rPr>
        <w:t xml:space="preserve">About AlphaTON Capital Corp. (Nasdaq: ATON) </w:t>
      </w:r>
    </w:p>
    <w:p>
      <w:pPr>
        <w:pStyle w:val="TextBody"/>
        <w:bidi w:val="0"/>
        <w:jc w:val="both"/>
        <w:rPr/>
      </w:pPr>
      <w:r>
        <w:rPr/>
        <w:t> </w:t>
      </w:r>
    </w:p>
    <w:p>
      <w:pPr>
        <w:pStyle w:val="TextBody"/>
        <w:bidi w:val="0"/>
        <w:jc w:val="both"/>
        <w:rPr>
          <w:sz w:val="20"/>
        </w:rPr>
      </w:pPr>
      <w:r>
        <w:rPr>
          <w:sz w:val="20"/>
        </w:rPr>
        <w:t>AlphaTON Capital Corp (NASDAQ: ATON) is the world’s leading technology public company scaling the Telegram super app, with an addressable market of 1 billion monthly active users while managing a strategic reserve of digital assets. The Company implements a comprehensive M&amp;A and treasury strategy that combines direct token acquisition, validator operations, and strategic ecosystem investments to generate sustainable returns for shareholders. Through its operations, AlphaTON provides public market investors with institutional-grade exposure to the TON ecosystem and Telegram’s billion-user platform while maintaining the governance standards and reporting transparency of a Nasdaq-listed company. Led by Chief Executive Officer Brittany Kaiser, Executive Chairman and Chief Investment Officer Enzo Villani, and Chief Business Development Officer Yury Mitin, the Company’s activities span network validation and staking operations, development of Telegram-based applications, and strategic investments in TON-based decentralized finance protocols, gaming platforms, and business applications.</w:t>
      </w:r>
    </w:p>
    <w:p>
      <w:pPr>
        <w:pStyle w:val="TextBody"/>
        <w:bidi w:val="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sz w:val="20"/>
        </w:rPr>
      </w:pPr>
      <w:r>
        <w:rPr>
          <w:sz w:val="20"/>
        </w:rPr>
        <w:t>AlphaTON Capital Corp is incorporated in the British Virgin Islands and trades on Nasdaq under the ticker symbol “ATON”. AlphaTON, through its legacy business, is also advancing first-in-class therapies targeting known checkpoint resistance pathways to achieve durable treatment responses and improve patients’ quality of life. AlphaTON actively engages in the drug development process and provides strategic counsel to guide the development of novel immunotherapy assets and asset combinations. To learn more, please visit https://alphatoncapital.com/.</w:t>
      </w:r>
    </w:p>
    <w:p>
      <w:pPr>
        <w:pStyle w:val="TextBody"/>
        <w:bidi w:val="0"/>
        <w:spacing w:before="0" w:after="283"/>
        <w:jc w:val="left"/>
        <w:rPr/>
      </w:pPr>
      <w:r>
        <w:rPr/>
        <w:t> </w:t>
      </w:r>
    </w:p>
    <w:p>
      <w:pPr>
        <w:pStyle w:val="TextBody"/>
        <w:bidi w:val="0"/>
        <w:spacing w:before="0" w:after="120"/>
        <w:jc w:val="left"/>
        <w:rPr>
          <w:b/>
          <w:sz w:val="20"/>
        </w:rPr>
      </w:pPr>
      <w:r>
        <w:rPr>
          <w:b/>
          <w:sz w:val="20"/>
        </w:rPr>
        <w:t xml:space="preserve">Forward Looking Statements </w:t>
      </w:r>
    </w:p>
    <w:p>
      <w:pPr>
        <w:pStyle w:val="TextBody"/>
        <w:bidi w:val="0"/>
        <w:jc w:val="both"/>
        <w:rPr>
          <w:sz w:val="20"/>
        </w:rPr>
      </w:pPr>
      <w:r>
        <w:rPr>
          <w:sz w:val="20"/>
        </w:rPr>
        <w:t>This press release contains forward-looking statements within the meaning of the Private Securities Litigation Reform Act of 1995, including statements regarding the completion of the offering, the satisfaction of customary closing conditions related to the offering and the intended use of net proceeds from the offering. These statements relate to future events or AlphaTON’s future financial performance and involve known and unknown risks, uncertainties and other factors that may cause actual results to differ materially from those expressed or implied by these forward-looking statements. Factors that could cause or contribute to such differences include, but are not limited to, the development and adoption of artificial intelligence technologies, cryptocurrency market volatility, regulatory developments, technical challenges in infrastructure deployment, and general economic conditions. AlphaTON undertakes no obligation to update any forward-looking statements, except as required by law.</w:t>
      </w:r>
    </w:p>
    <w:p>
      <w:pPr>
        <w:pStyle w:val="TextBody"/>
        <w:bidi w:val="0"/>
        <w:spacing w:before="0" w:after="283"/>
        <w:jc w:val="left"/>
        <w:rPr/>
      </w:pPr>
      <w:r>
        <w:rPr/>
        <w:t> </w:t>
      </w:r>
    </w:p>
    <w:p>
      <w:pPr>
        <w:pStyle w:val="TextBody"/>
        <w:bidi w:val="0"/>
        <w:spacing w:before="0" w:after="120"/>
        <w:jc w:val="left"/>
        <w:rPr>
          <w:b/>
          <w:sz w:val="20"/>
        </w:rPr>
      </w:pPr>
      <w:r>
        <w:rPr>
          <w:b/>
          <w:sz w:val="20"/>
        </w:rPr>
        <w:t xml:space="preserve">Investor Relations: </w:t>
      </w:r>
    </w:p>
    <w:p>
      <w:pPr>
        <w:pStyle w:val="TextBody"/>
        <w:bidi w:val="0"/>
        <w:jc w:val="left"/>
        <w:rPr>
          <w:sz w:val="20"/>
        </w:rPr>
      </w:pPr>
      <w:r>
        <w:rPr>
          <w:sz w:val="20"/>
        </w:rPr>
        <w:t>AlphaTON Capital Corp</w:t>
      </w:r>
    </w:p>
    <w:p>
      <w:pPr>
        <w:pStyle w:val="TextBody"/>
        <w:bidi w:val="0"/>
        <w:jc w:val="left"/>
        <w:rPr>
          <w:sz w:val="20"/>
        </w:rPr>
      </w:pPr>
      <w:r>
        <w:rPr>
          <w:sz w:val="20"/>
        </w:rPr>
        <w:t>AlphaTON@icrinc.com</w:t>
      </w:r>
    </w:p>
    <w:p>
      <w:pPr>
        <w:pStyle w:val="TextBody"/>
        <w:bidi w:val="0"/>
        <w:jc w:val="left"/>
        <w:rPr>
          <w:sz w:val="20"/>
        </w:rPr>
      </w:pPr>
      <w:r>
        <w:rPr>
          <w:sz w:val="20"/>
        </w:rPr>
        <w:t>(203) 682-8200</w:t>
      </w:r>
    </w:p>
    <w:p>
      <w:pPr>
        <w:pStyle w:val="TextBody"/>
        <w:bidi w:val="0"/>
        <w:spacing w:before="0" w:after="283"/>
        <w:jc w:val="left"/>
        <w:rPr/>
      </w:pPr>
      <w:r>
        <w:rPr/>
        <w:t> </w:t>
      </w:r>
    </w:p>
    <w:p>
      <w:pPr>
        <w:pStyle w:val="TextBody"/>
        <w:bidi w:val="0"/>
        <w:spacing w:before="0" w:after="120"/>
        <w:jc w:val="left"/>
        <w:rPr>
          <w:b/>
          <w:sz w:val="20"/>
        </w:rPr>
      </w:pPr>
      <w:r>
        <w:rPr>
          <w:b/>
          <w:sz w:val="20"/>
        </w:rPr>
        <w:t xml:space="preserve">Media Inquiries: </w:t>
      </w:r>
    </w:p>
    <w:p>
      <w:pPr>
        <w:pStyle w:val="TextBody"/>
        <w:bidi w:val="0"/>
        <w:jc w:val="left"/>
        <w:rPr>
          <w:sz w:val="20"/>
        </w:rPr>
      </w:pPr>
      <w:r>
        <w:rPr>
          <w:sz w:val="20"/>
        </w:rPr>
        <w:t>Richard Laermer</w:t>
      </w:r>
    </w:p>
    <w:p>
      <w:pPr>
        <w:pStyle w:val="TextBody"/>
        <w:bidi w:val="0"/>
        <w:jc w:val="left"/>
        <w:rPr>
          <w:sz w:val="20"/>
        </w:rPr>
      </w:pPr>
      <w:r>
        <w:rPr>
          <w:sz w:val="20"/>
        </w:rPr>
        <w:t>RLM PR</w:t>
      </w:r>
    </w:p>
    <w:p>
      <w:pPr>
        <w:pStyle w:val="TextBody"/>
        <w:bidi w:val="0"/>
        <w:jc w:val="left"/>
        <w:rPr>
          <w:sz w:val="20"/>
        </w:rPr>
      </w:pPr>
      <w:r>
        <w:rPr>
          <w:sz w:val="20"/>
        </w:rPr>
        <w:t>AlphaTON@rlmpr.com</w:t>
      </w:r>
    </w:p>
    <w:p>
      <w:pPr>
        <w:pStyle w:val="TextBody"/>
        <w:bidi w:val="0"/>
        <w:jc w:val="left"/>
        <w:rPr>
          <w:sz w:val="20"/>
        </w:rPr>
      </w:pPr>
      <w:r>
        <w:rPr>
          <w:sz w:val="20"/>
        </w:rPr>
        <w:t>(212) 741-5106 X 216</w:t>
      </w:r>
    </w:p>
    <w:p>
      <w:pPr>
        <w:pStyle w:val="TextBody"/>
        <w:bidi w:val="0"/>
        <w:spacing w:before="0" w:after="283"/>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jc w:val="right"/>
        <w:rPr>
          <w:b/>
          <w:sz w:val="20"/>
        </w:rPr>
      </w:pPr>
      <w:bookmarkStart w:id="7" w:name="a_006"/>
      <w:bookmarkEnd w:id="7"/>
      <w:r>
        <w:rPr>
          <w:b/>
          <w:sz w:val="20"/>
        </w:rPr>
        <w:t>Exhibit 99.2</w:t>
      </w:r>
    </w:p>
    <w:p>
      <w:pPr>
        <w:pStyle w:val="TextBody"/>
        <w:bidi w:val="0"/>
        <w:spacing w:before="0" w:after="283"/>
        <w:jc w:val="left"/>
        <w:rPr/>
      </w:pPr>
      <w:r>
        <w:rPr/>
        <w:t> </w:t>
      </w:r>
    </w:p>
    <w:p>
      <w:pPr>
        <w:pStyle w:val="TextBody"/>
        <w:bidi w:val="0"/>
        <w:jc w:val="center"/>
        <w:rPr>
          <w:b/>
          <w:sz w:val="20"/>
        </w:rPr>
      </w:pPr>
      <w:r>
        <w:rPr>
          <w:b/>
          <w:sz w:val="20"/>
        </w:rPr>
        <w:t>AlphaTON Capital Corp Announces Closing of $15 Million Registered Direct Offering of Ordinary Shares</w:t>
      </w:r>
    </w:p>
    <w:p>
      <w:pPr>
        <w:pStyle w:val="TextBody"/>
        <w:bidi w:val="0"/>
        <w:spacing w:before="0" w:after="283"/>
        <w:jc w:val="left"/>
        <w:rPr/>
      </w:pPr>
      <w:r>
        <w:rPr/>
        <w:t> </w:t>
      </w:r>
    </w:p>
    <w:p>
      <w:pPr>
        <w:pStyle w:val="TextBody"/>
        <w:bidi w:val="0"/>
        <w:jc w:val="both"/>
        <w:rPr>
          <w:sz w:val="20"/>
        </w:rPr>
      </w:pPr>
      <w:r>
        <w:rPr>
          <w:sz w:val="20"/>
        </w:rPr>
        <w:t>New York, NY, Jan. 15, 2026 (GLOBE NEWSWIRE) -- AlphaTON Capital Corp (NASDAQ: ATON) (“AlphaTON” or the “Company”), the world’s leading public technology company scaling the Telegram super app, with an addressable market of 1 billion monthly active users, today announced the closing of its previously announced registered direct for the purchase of an aggregate of 15,000,000 of its ordinary shares (or pre-funded warrants in lieu thereof), at a purchase price of $1.00 per ordinary share (or pre-funded warrant in lieu thereof).</w:t>
      </w:r>
    </w:p>
    <w:p>
      <w:pPr>
        <w:pStyle w:val="TextBody"/>
        <w:bidi w:val="0"/>
        <w:jc w:val="both"/>
        <w:rPr/>
      </w:pPr>
      <w:r>
        <w:rPr/>
        <w:t> </w:t>
      </w:r>
    </w:p>
    <w:p>
      <w:pPr>
        <w:pStyle w:val="TextBody"/>
        <w:bidi w:val="0"/>
        <w:jc w:val="both"/>
        <w:rPr>
          <w:sz w:val="20"/>
        </w:rPr>
      </w:pPr>
      <w:r>
        <w:rPr>
          <w:sz w:val="20"/>
        </w:rPr>
        <w:t>H.C. Wainwright &amp; Co. acted as the exclusive placement agent for the offering.</w:t>
      </w:r>
    </w:p>
    <w:p>
      <w:pPr>
        <w:pStyle w:val="TextBody"/>
        <w:bidi w:val="0"/>
        <w:jc w:val="both"/>
        <w:rPr/>
      </w:pPr>
      <w:r>
        <w:rPr/>
        <w:t> </w:t>
      </w:r>
    </w:p>
    <w:p>
      <w:pPr>
        <w:pStyle w:val="TextBody"/>
        <w:bidi w:val="0"/>
        <w:jc w:val="both"/>
        <w:rPr>
          <w:sz w:val="20"/>
        </w:rPr>
      </w:pPr>
      <w:r>
        <w:rPr>
          <w:sz w:val="20"/>
        </w:rPr>
        <w:t>The aggregate gross proceeds to the Company from the offering were $15 million, before deducting the placement agent fees and other offering expenses payable by the Company. The Company currently intends to use the net proceeds from the offering for scaling GPU deployments for Cocoon AI, working capital and general corporate purposes.</w:t>
      </w:r>
    </w:p>
    <w:p>
      <w:pPr>
        <w:pStyle w:val="TextBody"/>
        <w:bidi w:val="0"/>
        <w:jc w:val="both"/>
        <w:rPr/>
      </w:pPr>
      <w:r>
        <w:rPr/>
        <w:t> </w:t>
      </w:r>
    </w:p>
    <w:p>
      <w:pPr>
        <w:pStyle w:val="TextBody"/>
        <w:bidi w:val="0"/>
        <w:jc w:val="both"/>
        <w:rPr>
          <w:sz w:val="20"/>
        </w:rPr>
      </w:pPr>
      <w:r>
        <w:rPr>
          <w:sz w:val="20"/>
        </w:rPr>
        <w:t>The securities described above were offered pursuant to a “shelf” registration statement (File No. 333-291921) filed with the Securities and Exchange Commission (“SEC”) on December 3, 2025 and declared effective on December 11, 2025. The offering was made only by means of a prospectus, including a prospectus supplement, forming a part of the effective registration statement. The prospectus supplement and the accompanying prospectus relating to the securities being offered were filed with the SEC and are available at the SEC’s website at www.sec.gov. Electronic copies of the prospectus supplement and the accompanying prospectus relating to the securities being offered may also be obtained by contacting H.C. Wainwright &amp; Co., LLC at 430 Park Avenue, 3rd Floor, New York, NY 10022, by telephone at (212) 856-5711 or e-mail at placements@hcwco.com.</w:t>
      </w:r>
    </w:p>
    <w:p>
      <w:pPr>
        <w:pStyle w:val="TextBody"/>
        <w:bidi w:val="0"/>
        <w:jc w:val="both"/>
        <w:rPr/>
      </w:pPr>
      <w:r>
        <w:rPr/>
        <w:t>  </w:t>
      </w:r>
    </w:p>
    <w:p>
      <w:pPr>
        <w:pStyle w:val="TextBody"/>
        <w:bidi w:val="0"/>
        <w:jc w:val="both"/>
        <w:rPr>
          <w:sz w:val="20"/>
        </w:rPr>
      </w:pPr>
      <w:r>
        <w:rPr>
          <w:sz w:val="20"/>
        </w:rPr>
        <w:t>This press release shall not constitute an offer to sell or the solicitation of an offer to buy any of the securities described herein, nor shall there be any sale of these securities in any state or jurisdiction in which such offer, solicitation or sale would be unlawful prior to the registration or qualification under the securities laws of any such state or jurisdiction.</w:t>
      </w:r>
    </w:p>
    <w:p>
      <w:pPr>
        <w:pStyle w:val="TextBody"/>
        <w:bidi w:val="0"/>
        <w:spacing w:before="0" w:after="283"/>
        <w:jc w:val="left"/>
        <w:rPr/>
      </w:pPr>
      <w:r>
        <w:rPr/>
        <w:t> </w:t>
      </w:r>
    </w:p>
    <w:p>
      <w:pPr>
        <w:pStyle w:val="TextBody"/>
        <w:bidi w:val="0"/>
        <w:spacing w:before="0" w:after="120"/>
        <w:jc w:val="left"/>
        <w:rPr>
          <w:b/>
          <w:sz w:val="20"/>
        </w:rPr>
      </w:pPr>
      <w:r>
        <w:rPr>
          <w:b/>
          <w:sz w:val="20"/>
        </w:rPr>
        <w:t xml:space="preserve">About AlphaTON Capital Corp. (Nasdaq: ATON) </w:t>
      </w:r>
    </w:p>
    <w:p>
      <w:pPr>
        <w:pStyle w:val="TextBody"/>
        <w:bidi w:val="0"/>
        <w:jc w:val="both"/>
        <w:rPr/>
      </w:pPr>
      <w:r>
        <w:rPr/>
        <w:t> </w:t>
      </w:r>
    </w:p>
    <w:p>
      <w:pPr>
        <w:pStyle w:val="TextBody"/>
        <w:bidi w:val="0"/>
        <w:jc w:val="both"/>
        <w:rPr>
          <w:sz w:val="20"/>
        </w:rPr>
      </w:pPr>
      <w:r>
        <w:rPr>
          <w:sz w:val="20"/>
        </w:rPr>
        <w:t>AlphaTON Capital Corp (NASDAQ: ATON) is the world’s leading technology public company scaling the Telegram super app, with an addressable market of 1 billion monthly active users while managing a strategic reserve of digital assets. The Company implements a comprehensive M&amp;A and treasury strategy that combines direct token acquisition, validator operations, and strategic ecosystem investments to generate sustainable returns for shareholders. Through its operations, AlphaTON provides public market investors with institutional-grade exposure to the TON ecosystem and Telegram’s billion-user platform while maintaining the governance standards and reporting transparency of a Nasdaq-listed company. Led by Chief Executive Officer Brittany Kaiser, Executive Chairman and Chief Investment Officer Enzo Villani, and Chief Business Development Officer Yury Mitin, the Company’s activities span network validation and staking operations, development of Telegram-based applications, and strategic investments in TON-based decentralized finance protocols, gaming platforms, and business applications.</w:t>
      </w:r>
    </w:p>
    <w:p>
      <w:pPr>
        <w:pStyle w:val="TextBody"/>
        <w:bidi w:val="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sz w:val="20"/>
        </w:rPr>
      </w:pPr>
      <w:r>
        <w:rPr>
          <w:sz w:val="20"/>
        </w:rPr>
        <w:t>AlphaTON Capital Corp is incorporated in the British Virgin Islands and trades on Nasdaq under the ticker symbol “ATON”. AlphaTON, through its legacy business, is also advancing first-in-class therapies targeting known checkpoint resistance pathways to achieve durable treatment responses and improve patients’ quality of life. AlphaTON actively engages in the drug development process and provides strategic counsel to guide the development of novel immunotherapy assets and asset combinations. To learn more, please visit https://alphatoncapital.com/.</w:t>
      </w:r>
    </w:p>
    <w:p>
      <w:pPr>
        <w:pStyle w:val="TextBody"/>
        <w:bidi w:val="0"/>
        <w:spacing w:before="0" w:after="283"/>
        <w:jc w:val="left"/>
        <w:rPr/>
      </w:pPr>
      <w:r>
        <w:rPr/>
        <w:t> </w:t>
      </w:r>
    </w:p>
    <w:p>
      <w:pPr>
        <w:pStyle w:val="TextBody"/>
        <w:bidi w:val="0"/>
        <w:spacing w:before="0" w:after="120"/>
        <w:jc w:val="left"/>
        <w:rPr>
          <w:b/>
          <w:sz w:val="20"/>
        </w:rPr>
      </w:pPr>
      <w:r>
        <w:rPr>
          <w:b/>
          <w:sz w:val="20"/>
        </w:rPr>
        <w:t xml:space="preserve">Forward Looking Statements </w:t>
      </w:r>
    </w:p>
    <w:p>
      <w:pPr>
        <w:pStyle w:val="TextBody"/>
        <w:bidi w:val="0"/>
        <w:jc w:val="both"/>
        <w:rPr>
          <w:sz w:val="20"/>
        </w:rPr>
      </w:pPr>
      <w:r>
        <w:rPr>
          <w:sz w:val="20"/>
        </w:rPr>
        <w:t>This press release contains forward-looking statements within the meaning of the Private Securities Litigation Reform Act of 1995, including statements regarding the intended use of net proceeds from the offering. These statements relate to future events or AlphaTON’s future financial performance and involve known and unknown risks, uncertainties and other factors that may cause actual results to differ materially from those expressed or implied by these forward-looking statements. Factors that could cause or contribute to such differences include, but are not limited to, the development and adoption of artificial intelligence technologies, cryptocurrency market volatility, regulatory developments, technical challenges in infrastructure deployment, and general economic conditions. AlphaTON undertakes no obligation to update any forward-looking statements, except as required by law.</w:t>
      </w:r>
    </w:p>
    <w:p>
      <w:pPr>
        <w:pStyle w:val="TextBody"/>
        <w:bidi w:val="0"/>
        <w:spacing w:before="0" w:after="283"/>
        <w:jc w:val="left"/>
        <w:rPr/>
      </w:pPr>
      <w:r>
        <w:rPr/>
        <w:t> </w:t>
      </w:r>
    </w:p>
    <w:p>
      <w:pPr>
        <w:pStyle w:val="TextBody"/>
        <w:bidi w:val="0"/>
        <w:spacing w:before="0" w:after="120"/>
        <w:jc w:val="left"/>
        <w:rPr>
          <w:b/>
          <w:sz w:val="20"/>
        </w:rPr>
      </w:pPr>
      <w:r>
        <w:rPr>
          <w:b/>
          <w:sz w:val="20"/>
        </w:rPr>
        <w:t xml:space="preserve">Investor Relations: </w:t>
      </w:r>
    </w:p>
    <w:p>
      <w:pPr>
        <w:pStyle w:val="TextBody"/>
        <w:bidi w:val="0"/>
        <w:jc w:val="left"/>
        <w:rPr>
          <w:sz w:val="20"/>
        </w:rPr>
      </w:pPr>
      <w:r>
        <w:rPr>
          <w:sz w:val="20"/>
        </w:rPr>
        <w:t>AlphaTON Capital Corp</w:t>
      </w:r>
    </w:p>
    <w:p>
      <w:pPr>
        <w:pStyle w:val="TextBody"/>
        <w:bidi w:val="0"/>
        <w:jc w:val="left"/>
        <w:rPr>
          <w:sz w:val="20"/>
        </w:rPr>
      </w:pPr>
      <w:r>
        <w:rPr>
          <w:sz w:val="20"/>
        </w:rPr>
        <w:t>AlphaTON@icrinc.com</w:t>
      </w:r>
    </w:p>
    <w:p>
      <w:pPr>
        <w:pStyle w:val="TextBody"/>
        <w:bidi w:val="0"/>
        <w:jc w:val="left"/>
        <w:rPr>
          <w:sz w:val="20"/>
        </w:rPr>
      </w:pPr>
      <w:r>
        <w:rPr>
          <w:sz w:val="20"/>
        </w:rPr>
        <w:t>(203) 682-8200</w:t>
      </w:r>
    </w:p>
    <w:p>
      <w:pPr>
        <w:pStyle w:val="TextBody"/>
        <w:bidi w:val="0"/>
        <w:spacing w:before="0" w:after="283"/>
        <w:jc w:val="left"/>
        <w:rPr/>
      </w:pPr>
      <w:r>
        <w:rPr/>
        <w:t> </w:t>
      </w:r>
    </w:p>
    <w:p>
      <w:pPr>
        <w:pStyle w:val="TextBody"/>
        <w:bidi w:val="0"/>
        <w:spacing w:before="0" w:after="120"/>
        <w:jc w:val="left"/>
        <w:rPr>
          <w:b/>
          <w:sz w:val="20"/>
        </w:rPr>
      </w:pPr>
      <w:r>
        <w:rPr>
          <w:b/>
          <w:sz w:val="20"/>
        </w:rPr>
        <w:t xml:space="preserve">Media Inquiries: </w:t>
      </w:r>
    </w:p>
    <w:p>
      <w:pPr>
        <w:pStyle w:val="TextBody"/>
        <w:bidi w:val="0"/>
        <w:jc w:val="left"/>
        <w:rPr>
          <w:sz w:val="20"/>
        </w:rPr>
      </w:pPr>
      <w:r>
        <w:rPr>
          <w:sz w:val="20"/>
        </w:rPr>
        <w:t>Richard Laermer</w:t>
      </w:r>
    </w:p>
    <w:p>
      <w:pPr>
        <w:pStyle w:val="TextBody"/>
        <w:bidi w:val="0"/>
        <w:jc w:val="left"/>
        <w:rPr>
          <w:sz w:val="20"/>
        </w:rPr>
      </w:pPr>
      <w:r>
        <w:rPr>
          <w:sz w:val="20"/>
        </w:rPr>
        <w:t>RLM PR</w:t>
      </w:r>
    </w:p>
    <w:p>
      <w:pPr>
        <w:pStyle w:val="TextBody"/>
        <w:bidi w:val="0"/>
        <w:jc w:val="left"/>
        <w:rPr>
          <w:sz w:val="20"/>
        </w:rPr>
      </w:pPr>
      <w:r>
        <w:rPr>
          <w:sz w:val="20"/>
        </w:rPr>
        <w:t>AlphaTON@rlmpr.com</w:t>
      </w:r>
    </w:p>
    <w:p>
      <w:pPr>
        <w:pStyle w:val="TextBody"/>
        <w:bidi w:val="0"/>
        <w:jc w:val="left"/>
        <w:rPr>
          <w:sz w:val="20"/>
        </w:rPr>
      </w:pPr>
      <w:r>
        <w:rPr>
          <w:sz w:val="20"/>
        </w:rPr>
        <w:t>(212) 741-5106 X 216</w:t>
      </w:r>
    </w:p>
    <w:p>
      <w:pPr>
        <w:pStyle w:val="TextBody"/>
        <w:bidi w:val="0"/>
        <w:spacing w:before="0" w:after="283"/>
        <w:jc w:val="left"/>
        <w:rPr/>
      </w:pPr>
      <w:r>
        <w:rPr/>
        <w:t> </w:t>
      </w:r>
    </w:p>
    <w:p>
      <w:pPr>
        <w:pStyle w:val="TextBody"/>
        <w:bidi w:val="0"/>
        <w:spacing w:before="0" w:after="160"/>
        <w:jc w:val="left"/>
        <w:rPr/>
      </w:pPr>
      <w:r>
        <w:rPr/>
        <w:t> </w:t>
      </w:r>
    </w:p>
    <w:p>
      <w:pPr>
        <w:pStyle w:val="TextBody"/>
        <w:bidi w:val="0"/>
        <w:spacing w:before="0" w:after="16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53</Pages>
  <Words>41496</Words>
  <Characters>220683</Characters>
  <CharactersWithSpaces>265049</CharactersWithSpaces>
  <Paragraphs>1661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