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424b3_012826.htm"/>
      <w:bookmarkStart w:id="1" w:name="ksf424b3_012826"/>
      <w:bookmarkEnd w:id="0"/>
      <w:bookmarkEnd w:id="1"/>
      <w:r>
        <w:rPr/>
        <w:t> </w:t>
      </w:r>
    </w:p>
    <w:p>
      <w:pPr>
        <w:pStyle w:val="TextBody"/>
        <w:bidi w:val="0"/>
        <w:spacing w:before="0" w:after="0"/>
        <w:ind w:left="0" w:right="0" w:hanging="228"/>
        <w:jc w:val="right"/>
        <w:rPr>
          <w:b/>
          <w:sz w:val="20"/>
        </w:rPr>
      </w:pPr>
      <w:r>
        <w:rPr>
          <w:b/>
          <w:sz w:val="20"/>
        </w:rPr>
        <w:t>Filed Pursuant to Rule 424(b)(3)</w:t>
      </w:r>
    </w:p>
    <w:p>
      <w:pPr>
        <w:pStyle w:val="TextBody"/>
        <w:bidi w:val="0"/>
        <w:spacing w:before="0" w:after="0"/>
        <w:ind w:left="0" w:right="0" w:hanging="228"/>
        <w:jc w:val="right"/>
        <w:rPr>
          <w:b/>
          <w:sz w:val="20"/>
        </w:rPr>
      </w:pPr>
      <w:r>
        <w:rPr>
          <w:b/>
          <w:sz w:val="20"/>
        </w:rPr>
        <w:t>Registration No. 333-275229</w:t>
      </w:r>
    </w:p>
    <w:p>
      <w:pPr>
        <w:pStyle w:val="TextBody"/>
        <w:bidi w:val="0"/>
        <w:spacing w:before="0" w:after="0"/>
        <w:jc w:val="left"/>
        <w:rPr/>
      </w:pPr>
      <w:r>
        <w:rPr/>
        <w:t> </w:t>
      </w:r>
    </w:p>
    <w:p>
      <w:pPr>
        <w:pStyle w:val="TextBody"/>
        <w:bidi w:val="0"/>
        <w:spacing w:before="0" w:after="0"/>
        <w:jc w:val="left"/>
        <w:rPr>
          <w:b/>
          <w:sz w:val="20"/>
        </w:rPr>
      </w:pPr>
      <w:r>
        <w:rPr>
          <w:b/>
          <w:sz w:val="20"/>
        </w:rPr>
        <w:t>PROSPECTUS SUPPLEMENT</w:t>
      </w:r>
    </w:p>
    <w:p>
      <w:pPr>
        <w:pStyle w:val="TextBody"/>
        <w:bidi w:val="0"/>
        <w:spacing w:before="0" w:after="0"/>
        <w:jc w:val="left"/>
        <w:rPr>
          <w:b/>
          <w:sz w:val="20"/>
        </w:rPr>
      </w:pPr>
      <w:r>
        <w:rPr>
          <w:b/>
          <w:sz w:val="20"/>
        </w:rPr>
        <w:t>(to Prospectus dated November 7, 2023)</w:t>
      </w:r>
    </w:p>
    <w:p>
      <w:pPr>
        <w:pStyle w:val="TextBody"/>
        <w:bidi w:val="0"/>
        <w:spacing w:before="0" w:after="0"/>
        <w:jc w:val="left"/>
        <w:rPr/>
      </w:pPr>
      <w:r>
        <w:rPr/>
        <w:t> </w:t>
      </w:r>
    </w:p>
    <w:p>
      <w:pPr>
        <w:pStyle w:val="TextBody"/>
        <w:bidi w:val="0"/>
        <w:spacing w:before="0" w:after="0"/>
        <w:jc w:val="center"/>
        <w:rPr/>
      </w:pPr>
      <w:r>
        <w:rPr/>
        <w:drawing>
          <wp:inline distT="0" distB="0" distL="0" distR="0">
            <wp:extent cx="1238250" cy="24765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238250" cy="247650"/>
                    </a:xfrm>
                    <a:prstGeom prst="rect">
                      <a:avLst/>
                    </a:prstGeom>
                  </pic:spPr>
                </pic:pic>
              </a:graphicData>
            </a:graphic>
          </wp:inline>
        </w:drawing>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b/>
          <w:sz w:val="20"/>
        </w:rPr>
      </w:pPr>
      <w:r>
        <w:rPr>
          <w:b/>
          <w:sz w:val="20"/>
        </w:rPr>
        <w:t>AlphaTON Capital Corp</w:t>
      </w:r>
    </w:p>
    <w:p>
      <w:pPr>
        <w:pStyle w:val="TextBody"/>
        <w:bidi w:val="0"/>
        <w:spacing w:before="0" w:after="0"/>
        <w:jc w:val="left"/>
        <w:rPr/>
      </w:pPr>
      <w:r>
        <w:rPr/>
        <w:t> </w:t>
      </w:r>
    </w:p>
    <w:p>
      <w:pPr>
        <w:pStyle w:val="TextBody"/>
        <w:bidi w:val="0"/>
        <w:spacing w:before="0" w:after="0"/>
        <w:jc w:val="center"/>
        <w:rPr>
          <w:b/>
          <w:sz w:val="20"/>
        </w:rPr>
      </w:pPr>
      <w:r>
        <w:rPr>
          <w:b/>
          <w:sz w:val="20"/>
        </w:rPr>
        <w:t>481,581 Ordinary Shares underlying Warrants</w:t>
      </w:r>
    </w:p>
    <w:p>
      <w:pPr>
        <w:pStyle w:val="TextBody"/>
        <w:bidi w:val="0"/>
        <w:spacing w:before="0" w:after="0"/>
        <w:jc w:val="left"/>
        <w:rPr/>
      </w:pPr>
      <w:r>
        <w:rPr/>
        <w:t> </w:t>
      </w:r>
    </w:p>
    <w:p>
      <w:pPr>
        <w:pStyle w:val="TextBody"/>
        <w:bidi w:val="0"/>
        <w:spacing w:before="0" w:after="0"/>
        <w:ind w:left="0" w:right="0" w:firstLine="259"/>
        <w:jc w:val="both"/>
        <w:rPr>
          <w:sz w:val="20"/>
        </w:rPr>
      </w:pPr>
      <w:r>
        <w:rPr>
          <w:sz w:val="20"/>
        </w:rPr>
        <w:t>This prospectus supplement is being filed to update and supplement the information contained in the prospectus dated November 7, 2023 (the “Prospectus”), which forms a part of our Registration Statement on Form F-1 (Registration No. 333-275229), as amended most recently by the post-effective amendment filed on August 23, 2024, with the information contained in our current report on Form 6-K, furnished to the Securities and Exchange Commission on January 28, 2026 (the “January 28, 2026 Form 6-K”). Accordingly, we have attached the January 28, 2026 Form 6-K to this prospectus supplement.</w:t>
      </w:r>
    </w:p>
    <w:p>
      <w:pPr>
        <w:pStyle w:val="TextBody"/>
        <w:bidi w:val="0"/>
        <w:spacing w:before="0" w:after="0"/>
        <w:jc w:val="left"/>
        <w:rPr/>
      </w:pPr>
      <w:r>
        <w:rPr/>
        <w:t> </w:t>
      </w:r>
    </w:p>
    <w:p>
      <w:pPr>
        <w:pStyle w:val="TextBody"/>
        <w:bidi w:val="0"/>
        <w:spacing w:before="0" w:after="0"/>
        <w:ind w:left="0" w:right="0" w:firstLine="259"/>
        <w:jc w:val="both"/>
        <w:rPr>
          <w:sz w:val="20"/>
        </w:rPr>
      </w:pPr>
      <w:r>
        <w:rPr>
          <w:sz w:val="20"/>
        </w:rPr>
        <w:t>This prospectus supplement updates and supplements the information in the Prospectus and is not complete without, and may not be delivered or utilized except in combination with, the Prospectus, including any amendments or supplements thereto. This prospectus supplement should be read in conjunction with the Prospectus, and if there is any inconsistency between the information in the Prospectus and this prospectus supplement, you should rely on the information in this prospectus supplement.</w:t>
      </w:r>
    </w:p>
    <w:p>
      <w:pPr>
        <w:pStyle w:val="TextBody"/>
        <w:bidi w:val="0"/>
        <w:spacing w:before="0" w:after="0"/>
        <w:jc w:val="left"/>
        <w:rPr/>
      </w:pPr>
      <w:r>
        <w:rPr/>
        <w:t> </w:t>
      </w:r>
    </w:p>
    <w:p>
      <w:pPr>
        <w:pStyle w:val="TextBody"/>
        <w:bidi w:val="0"/>
        <w:spacing w:before="0" w:after="0"/>
        <w:ind w:left="0" w:right="0" w:firstLine="259"/>
        <w:jc w:val="both"/>
        <w:rPr>
          <w:sz w:val="20"/>
        </w:rPr>
      </w:pPr>
      <w:r>
        <w:rPr>
          <w:sz w:val="20"/>
        </w:rPr>
        <w:t>Our Ordinary Shares are listed on The Nasdaq Capital Market (“Nasdaq”) under the symbol “ATON”. On January 27, 2026, the closing sale price of our Ordinary Shares as reported on Nasdaq was $0.598.</w:t>
      </w:r>
    </w:p>
    <w:p>
      <w:pPr>
        <w:pStyle w:val="TextBody"/>
        <w:bidi w:val="0"/>
        <w:spacing w:before="0" w:after="0"/>
        <w:jc w:val="left"/>
        <w:rPr/>
      </w:pPr>
      <w:r>
        <w:rPr/>
        <w:t> </w:t>
      </w:r>
    </w:p>
    <w:p>
      <w:pPr>
        <w:pStyle w:val="TextBody"/>
        <w:bidi w:val="0"/>
        <w:spacing w:before="0" w:after="0"/>
        <w:jc w:val="center"/>
        <w:rPr>
          <w:sz w:val="20"/>
        </w:rPr>
      </w:pPr>
      <w:r>
        <w:rPr>
          <w:sz w:val="20"/>
        </w:rPr>
        <w:t>____________________________</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ind w:left="0" w:right="0" w:firstLine="259"/>
        <w:jc w:val="left"/>
        <w:rPr>
          <w:b/>
          <w:sz w:val="20"/>
        </w:rPr>
      </w:pPr>
      <w:r>
        <w:rPr>
          <w:b/>
          <w:sz w:val="20"/>
        </w:rPr>
        <w:t>Investing in the securities offered in the Prospectus involves a high degree of risk. Before making any investment in these securities, you should consider carefully the risks and uncertainties in the section entitled “Risk Factors” beginning on page 9 of the Prospectus, and in the other documents that are incorporated by reference into the Prospectus.</w:t>
      </w:r>
    </w:p>
    <w:p>
      <w:pPr>
        <w:pStyle w:val="TextBody"/>
        <w:bidi w:val="0"/>
        <w:spacing w:before="0" w:after="0"/>
        <w:jc w:val="left"/>
        <w:rPr/>
      </w:pPr>
      <w:r>
        <w:rPr/>
        <w:t> </w:t>
      </w:r>
    </w:p>
    <w:p>
      <w:pPr>
        <w:pStyle w:val="TextBody"/>
        <w:bidi w:val="0"/>
        <w:spacing w:before="0" w:after="0"/>
        <w:ind w:left="0" w:right="0" w:firstLine="259"/>
        <w:jc w:val="left"/>
        <w:rPr>
          <w:b/>
          <w:sz w:val="20"/>
        </w:rPr>
      </w:pPr>
      <w:r>
        <w:rPr>
          <w:b/>
          <w:sz w:val="20"/>
        </w:rPr>
        <w:t>Neither the Securities and Exchange Commission nor any state or non-U.S. regulatory body has approved or disapproved of the securities offered in the Prospectus or passed upon the accuracy or adequacy of the Prospectus or this prospectus supplement. Any representation to the contrary is a criminal offense.</w:t>
      </w:r>
    </w:p>
    <w:p>
      <w:pPr>
        <w:pStyle w:val="TextBody"/>
        <w:bidi w:val="0"/>
        <w:spacing w:before="0" w:after="0"/>
        <w:jc w:val="left"/>
        <w:rPr/>
      </w:pPr>
      <w:r>
        <w:rPr/>
        <w:t> </w:t>
      </w:r>
    </w:p>
    <w:p>
      <w:pPr>
        <w:pStyle w:val="TextBody"/>
        <w:bidi w:val="0"/>
        <w:spacing w:before="0" w:after="0"/>
        <w:jc w:val="center"/>
        <w:rPr>
          <w:sz w:val="20"/>
        </w:rPr>
      </w:pPr>
      <w:r>
        <w:rPr>
          <w:sz w:val="20"/>
        </w:rPr>
        <w:t>____________________________</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b/>
          <w:sz w:val="20"/>
        </w:rPr>
      </w:pPr>
      <w:r>
        <w:rPr>
          <w:b/>
          <w:sz w:val="20"/>
        </w:rPr>
        <w:t>The date of this prospectus supplement is January 28, 2026</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ind w:left="0" w:right="0" w:hanging="0"/>
        <w:jc w:val="left"/>
        <w:rPr>
          <w:bdr w:val="single" w:sz="32" w:space="1" w:color="000000"/>
        </w:rPr>
      </w:pPr>
      <w:r>
        <w:rPr>
          <w:bdr w:val="single" w:sz="32" w:space="1" w:color="000000"/>
        </w:rPr>
        <w:t> </w:t>
      </w:r>
    </w:p>
    <w:p>
      <w:pPr>
        <w:pStyle w:val="TextBody"/>
        <w:bidi w:val="0"/>
        <w:spacing w:before="0" w:after="0"/>
        <w:ind w:left="0" w:right="0" w:hanging="0"/>
        <w:jc w:val="left"/>
        <w:rPr/>
      </w:pPr>
      <w:r>
        <w:rPr/>
        <w:t> </w:t>
      </w:r>
    </w:p>
    <w:p>
      <w:pPr>
        <w:pStyle w:val="TextBody"/>
        <w:bidi w:val="0"/>
        <w:spacing w:before="0" w:after="0"/>
        <w:jc w:val="left"/>
        <w:rPr/>
      </w:pPr>
      <w:r>
        <w:rPr/>
        <w:t> </w:t>
      </w:r>
    </w:p>
    <w:p>
      <w:pPr>
        <w:pStyle w:val="TextBody"/>
        <w:bidi w:val="0"/>
        <w:spacing w:before="0" w:after="0"/>
        <w:ind w:left="0" w:right="0" w:hanging="0"/>
        <w:jc w:val="center"/>
        <w:rPr>
          <w:b/>
          <w:sz w:val="20"/>
        </w:rPr>
      </w:pPr>
      <w:r>
        <w:rPr>
          <w:b/>
          <w:sz w:val="20"/>
        </w:rPr>
        <w:t>UNITED STATES</w:t>
      </w:r>
    </w:p>
    <w:p>
      <w:pPr>
        <w:pStyle w:val="TextBody"/>
        <w:bidi w:val="0"/>
        <w:spacing w:before="0" w:after="0"/>
        <w:ind w:left="0" w:right="0" w:hanging="0"/>
        <w:jc w:val="center"/>
        <w:rPr>
          <w:b/>
          <w:sz w:val="20"/>
        </w:rPr>
      </w:pPr>
      <w:r>
        <w:rPr>
          <w:b/>
          <w:sz w:val="20"/>
        </w:rPr>
        <w:t>SECURITIES AND EXCHANGE COMMISSION</w:t>
      </w:r>
    </w:p>
    <w:p>
      <w:pPr>
        <w:pStyle w:val="TextBody"/>
        <w:bidi w:val="0"/>
        <w:spacing w:before="0" w:after="0"/>
        <w:ind w:left="0" w:right="0" w:hanging="0"/>
        <w:jc w:val="center"/>
        <w:rPr>
          <w:b/>
          <w:sz w:val="20"/>
        </w:rPr>
      </w:pPr>
      <w:r>
        <w:rPr>
          <w:b/>
          <w:sz w:val="20"/>
        </w:rPr>
        <w:t>Washington, D.C. 20549</w:t>
      </w:r>
    </w:p>
    <w:p>
      <w:pPr>
        <w:pStyle w:val="TextBody"/>
        <w:bidi w:val="0"/>
        <w:spacing w:before="0" w:after="0"/>
        <w:ind w:left="0" w:right="0" w:hanging="0"/>
        <w:jc w:val="center"/>
        <w:rPr/>
      </w:pPr>
      <w:r>
        <w:rPr/>
        <w:t> </w:t>
      </w:r>
    </w:p>
    <w:p>
      <w:pPr>
        <w:pStyle w:val="TextBody"/>
        <w:bidi w:val="0"/>
        <w:spacing w:before="0" w:after="0"/>
        <w:ind w:left="0" w:right="0" w:hanging="0"/>
        <w:jc w:val="center"/>
        <w:rPr>
          <w:b/>
          <w:sz w:val="20"/>
        </w:rPr>
      </w:pPr>
      <w:r>
        <w:rPr>
          <w:b/>
          <w:sz w:val="20"/>
        </w:rPr>
        <w:t>FORM 6-K</w:t>
      </w:r>
    </w:p>
    <w:p>
      <w:pPr>
        <w:pStyle w:val="TextBody"/>
        <w:bidi w:val="0"/>
        <w:spacing w:before="0" w:after="0"/>
        <w:ind w:left="0" w:right="0" w:hanging="0"/>
        <w:jc w:val="center"/>
        <w:rPr/>
      </w:pPr>
      <w:r>
        <w:rPr/>
        <w:t> </w:t>
      </w:r>
    </w:p>
    <w:p>
      <w:pPr>
        <w:pStyle w:val="TextBody"/>
        <w:bidi w:val="0"/>
        <w:spacing w:before="0" w:after="0"/>
        <w:ind w:left="0" w:right="0" w:hanging="0"/>
        <w:jc w:val="center"/>
        <w:rPr>
          <w:b/>
          <w:sz w:val="20"/>
        </w:rPr>
      </w:pPr>
      <w:r>
        <w:rPr>
          <w:b/>
          <w:sz w:val="20"/>
        </w:rPr>
        <w:t>REPORT OF FOREIGN PRIVATE ISSUER PURSUANT TO RULE 13a-16 OR 15d-16</w:t>
      </w:r>
    </w:p>
    <w:p>
      <w:pPr>
        <w:pStyle w:val="TextBody"/>
        <w:bidi w:val="0"/>
        <w:spacing w:before="0" w:after="0"/>
        <w:ind w:left="0" w:right="0" w:hanging="0"/>
        <w:jc w:val="center"/>
        <w:rPr>
          <w:b/>
          <w:sz w:val="20"/>
        </w:rPr>
      </w:pPr>
      <w:r>
        <w:rPr>
          <w:b/>
          <w:sz w:val="20"/>
        </w:rPr>
        <w:t>UNDER THE SECURITIES EXCHANGE ACT OF 1934</w:t>
      </w:r>
    </w:p>
    <w:p>
      <w:pPr>
        <w:pStyle w:val="TextBody"/>
        <w:bidi w:val="0"/>
        <w:spacing w:before="0" w:after="0"/>
        <w:ind w:left="0" w:right="0" w:hanging="0"/>
        <w:jc w:val="center"/>
        <w:rPr/>
      </w:pPr>
      <w:r>
        <w:rPr/>
        <w:t> </w:t>
      </w:r>
    </w:p>
    <w:p>
      <w:pPr>
        <w:pStyle w:val="TextBody"/>
        <w:bidi w:val="0"/>
        <w:spacing w:before="0" w:after="0"/>
        <w:ind w:left="0" w:right="0" w:hanging="0"/>
        <w:jc w:val="center"/>
        <w:rPr>
          <w:b/>
          <w:sz w:val="20"/>
        </w:rPr>
      </w:pPr>
      <w:r>
        <w:rPr>
          <w:b/>
          <w:sz w:val="20"/>
        </w:rPr>
        <w:t>For the month of January, 2026</w:t>
      </w:r>
    </w:p>
    <w:p>
      <w:pPr>
        <w:pStyle w:val="TextBody"/>
        <w:bidi w:val="0"/>
        <w:spacing w:before="0" w:after="0"/>
        <w:ind w:left="0" w:right="0" w:hanging="0"/>
        <w:jc w:val="center"/>
        <w:rPr/>
      </w:pPr>
      <w:r>
        <w:rPr/>
        <w:t> </w:t>
      </w:r>
    </w:p>
    <w:p>
      <w:pPr>
        <w:pStyle w:val="TextBody"/>
        <w:bidi w:val="0"/>
        <w:spacing w:before="0" w:after="0"/>
        <w:ind w:left="0" w:right="0" w:hanging="0"/>
        <w:jc w:val="center"/>
        <w:rPr>
          <w:sz w:val="20"/>
        </w:rPr>
      </w:pPr>
      <w:r>
        <w:rPr>
          <w:sz w:val="20"/>
        </w:rPr>
        <w:t xml:space="preserve">Commission File Number: </w:t>
      </w:r>
      <w:r>
        <w:rPr>
          <w:b/>
          <w:sz w:val="20"/>
        </w:rPr>
        <w:t>001-40086</w:t>
      </w:r>
    </w:p>
    <w:p>
      <w:pPr>
        <w:pStyle w:val="TextBody"/>
        <w:bidi w:val="0"/>
        <w:spacing w:before="0" w:after="0"/>
        <w:ind w:left="0" w:right="0" w:hanging="0"/>
        <w:jc w:val="center"/>
        <w:rPr/>
      </w:pPr>
      <w:r>
        <w:rPr/>
        <w:t> </w:t>
      </w:r>
    </w:p>
    <w:p>
      <w:pPr>
        <w:pStyle w:val="TextBody"/>
        <w:bidi w:val="0"/>
        <w:spacing w:before="0" w:after="0"/>
        <w:ind w:left="0" w:right="0" w:hanging="0"/>
        <w:jc w:val="center"/>
        <w:rPr>
          <w:b/>
          <w:sz w:val="20"/>
        </w:rPr>
      </w:pPr>
      <w:r>
        <w:rPr>
          <w:b/>
          <w:sz w:val="20"/>
        </w:rPr>
        <w:t>AlphaTON Capital Corp</w:t>
      </w:r>
    </w:p>
    <w:p>
      <w:pPr>
        <w:pStyle w:val="TextBody"/>
        <w:bidi w:val="0"/>
        <w:spacing w:before="0" w:after="0"/>
        <w:ind w:left="0" w:right="0" w:hanging="0"/>
        <w:jc w:val="center"/>
        <w:rPr>
          <w:sz w:val="20"/>
        </w:rPr>
      </w:pPr>
      <w:r>
        <w:rPr>
          <w:sz w:val="20"/>
        </w:rPr>
        <w:t>(Translation of registrant’s name into English)</w:t>
      </w:r>
    </w:p>
    <w:p>
      <w:pPr>
        <w:pStyle w:val="TextBody"/>
        <w:bidi w:val="0"/>
        <w:spacing w:before="0" w:after="0"/>
        <w:ind w:left="0" w:right="0" w:hanging="0"/>
        <w:jc w:val="center"/>
        <w:rPr/>
      </w:pPr>
      <w:r>
        <w:rPr/>
        <w:t> </w:t>
      </w:r>
    </w:p>
    <w:p>
      <w:pPr>
        <w:pStyle w:val="TextBody"/>
        <w:bidi w:val="0"/>
        <w:spacing w:before="0" w:after="0"/>
        <w:ind w:left="0" w:right="0" w:hanging="0"/>
        <w:jc w:val="center"/>
        <w:rPr>
          <w:b/>
          <w:sz w:val="20"/>
        </w:rPr>
      </w:pPr>
      <w:r>
        <w:rPr>
          <w:b/>
          <w:sz w:val="20"/>
        </w:rPr>
        <w:t>Clarence Thomas Building, P.O. Box 4649, Road Town, Tortola, British Virgin Islands, VG1110</w:t>
      </w:r>
    </w:p>
    <w:p>
      <w:pPr>
        <w:pStyle w:val="TextBody"/>
        <w:bidi w:val="0"/>
        <w:spacing w:before="0" w:after="0"/>
        <w:ind w:left="0" w:right="0" w:hanging="0"/>
        <w:jc w:val="center"/>
        <w:rPr>
          <w:sz w:val="20"/>
        </w:rPr>
      </w:pPr>
      <w:r>
        <w:rPr>
          <w:sz w:val="20"/>
        </w:rPr>
        <w:t>(Address of principal executive office)</w:t>
      </w:r>
    </w:p>
    <w:p>
      <w:pPr>
        <w:pStyle w:val="TextBody"/>
        <w:bidi w:val="0"/>
        <w:spacing w:before="0" w:after="0"/>
        <w:ind w:left="0" w:right="0" w:hanging="0"/>
        <w:jc w:val="left"/>
        <w:rPr/>
      </w:pPr>
      <w:r>
        <w:rPr/>
        <w:t> </w:t>
      </w:r>
    </w:p>
    <w:tbl>
      <w:tblPr>
        <w:tblW w:w="9454" w:type="dxa"/>
        <w:jc w:val="left"/>
        <w:tblInd w:w="0" w:type="dxa"/>
        <w:tblLayout w:type="fixed"/>
        <w:tblCellMar>
          <w:top w:w="0" w:type="dxa"/>
          <w:left w:w="0" w:type="dxa"/>
          <w:bottom w:w="0" w:type="dxa"/>
          <w:right w:w="0" w:type="dxa"/>
        </w:tblCellMar>
      </w:tblPr>
      <w:tblGrid>
        <w:gridCol w:w="4993"/>
        <w:gridCol w:w="4461"/>
      </w:tblGrid>
      <w:tr>
        <w:trPr/>
        <w:tc>
          <w:tcPr>
            <w:tcW w:w="9454" w:type="dxa"/>
            <w:gridSpan w:val="2"/>
            <w:tcBorders/>
            <w:vAlign w:val="center"/>
          </w:tcPr>
          <w:p>
            <w:pPr>
              <w:pStyle w:val="TableContents"/>
              <w:bidi w:val="0"/>
              <w:spacing w:before="0" w:after="283"/>
              <w:jc w:val="left"/>
              <w:rPr>
                <w:sz w:val="20"/>
              </w:rPr>
            </w:pPr>
            <w:r>
              <w:rPr>
                <w:sz w:val="20"/>
              </w:rPr>
              <w:t>Indicate by check mark whether the registrant files or will file annual reports under cover of Form 20-F or Form 40-F.</w:t>
            </w:r>
          </w:p>
        </w:tc>
      </w:tr>
      <w:tr>
        <w:trPr/>
        <w:tc>
          <w:tcPr>
            <w:tcW w:w="9454" w:type="dxa"/>
            <w:gridSpan w:val="2"/>
            <w:tcBorders/>
            <w:vAlign w:val="center"/>
          </w:tcPr>
          <w:p>
            <w:pPr>
              <w:pStyle w:val="TableContents"/>
              <w:bidi w:val="0"/>
              <w:spacing w:before="0" w:after="283"/>
              <w:jc w:val="left"/>
              <w:rPr/>
            </w:pPr>
            <w:r>
              <w:rPr/>
              <w:t> </w:t>
            </w:r>
          </w:p>
        </w:tc>
      </w:tr>
      <w:tr>
        <w:trPr/>
        <w:tc>
          <w:tcPr>
            <w:tcW w:w="4993" w:type="dxa"/>
            <w:tcBorders/>
            <w:vAlign w:val="center"/>
          </w:tcPr>
          <w:p>
            <w:pPr>
              <w:pStyle w:val="TableContents"/>
              <w:bidi w:val="0"/>
              <w:spacing w:before="0" w:after="283"/>
              <w:jc w:val="left"/>
              <w:rPr>
                <w:sz w:val="20"/>
              </w:rPr>
            </w:pPr>
            <w:r>
              <w:rPr>
                <w:sz w:val="20"/>
              </w:rPr>
              <w:t>Form 20-F [ X ]</w:t>
            </w:r>
          </w:p>
        </w:tc>
        <w:tc>
          <w:tcPr>
            <w:tcW w:w="4461" w:type="dxa"/>
            <w:tcBorders/>
            <w:vAlign w:val="center"/>
          </w:tcPr>
          <w:p>
            <w:pPr>
              <w:pStyle w:val="TableContents"/>
              <w:bidi w:val="0"/>
              <w:spacing w:before="0" w:after="283"/>
              <w:jc w:val="left"/>
              <w:rPr>
                <w:sz w:val="20"/>
              </w:rPr>
            </w:pPr>
            <w:r>
              <w:rPr>
                <w:sz w:val="20"/>
              </w:rPr>
              <w:t>Form 40-F [  ]</w:t>
            </w:r>
          </w:p>
        </w:tc>
      </w:tr>
    </w:tbl>
    <w:p>
      <w:pPr>
        <w:pStyle w:val="TextBody"/>
        <w:bidi w:val="0"/>
        <w:spacing w:before="0" w:after="0"/>
        <w:ind w:left="0" w:right="0" w:hanging="0"/>
        <w:jc w:val="left"/>
        <w:rPr/>
      </w:pPr>
      <w:r>
        <w:rPr/>
        <w:t> </w:t>
      </w:r>
    </w:p>
    <w:p>
      <w:pPr>
        <w:pStyle w:val="TextBody"/>
        <w:bidi w:val="0"/>
        <w:spacing w:before="0" w:after="0"/>
        <w:ind w:left="0" w:right="0" w:hanging="0"/>
        <w:jc w:val="left"/>
        <w:rPr>
          <w:bdr w:val="single" w:sz="32" w:space="1" w:color="000000"/>
        </w:rPr>
      </w:pPr>
      <w:r>
        <w:rPr>
          <w:bdr w:val="single" w:sz="32"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center"/>
        <w:rPr>
          <w:b/>
          <w:sz w:val="20"/>
        </w:rPr>
      </w:pPr>
      <w:r>
        <w:rPr>
          <w:b/>
          <w:sz w:val="20"/>
        </w:rPr>
        <w:t>INCORPORATION BY REFERENCE</w:t>
      </w:r>
    </w:p>
    <w:p>
      <w:pPr>
        <w:pStyle w:val="TextBody"/>
        <w:bidi w:val="0"/>
        <w:spacing w:before="0" w:after="0"/>
        <w:ind w:left="0" w:right="0" w:hanging="0"/>
        <w:jc w:val="left"/>
        <w:rPr/>
      </w:pPr>
      <w:r>
        <w:rPr/>
        <w:t> </w:t>
      </w:r>
    </w:p>
    <w:p>
      <w:pPr>
        <w:pStyle w:val="TextBody"/>
        <w:bidi w:val="0"/>
        <w:spacing w:before="0" w:after="0"/>
        <w:ind w:left="0" w:right="0" w:hanging="0"/>
        <w:jc w:val="left"/>
        <w:rPr>
          <w:sz w:val="20"/>
        </w:rPr>
      </w:pPr>
      <w:r>
        <w:rPr>
          <w:sz w:val="20"/>
        </w:rPr>
        <w:t>This report on Form 6-K (including any exhibits attached hereto) shall be deemed to be incorporated by reference into the registration statements on Form S-8 (File Nos. 333-275842 and 333-289199) and Form F-3 (File Nos. 333-286961, 333-290827, 333-291341 and 333-291921) of AlphaTON Capital Corp (including any prospectuses forming a part of such registration statements) and to be a part thereof from the date on which this report is filed, to the extent not superseded by documents or reports subsequently filed or furnished.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bdr w:val="single" w:sz="32" w:space="1" w:color="000000"/>
        </w:rPr>
      </w:pPr>
      <w:r>
        <w:rPr>
          <w:bdr w:val="single" w:sz="32"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sz w:val="20"/>
        </w:rPr>
      </w:pPr>
      <w:r>
        <w:rPr>
          <w:sz w:val="20"/>
        </w:rPr>
        <w:t>On January 28, 2026, AlphaTON Capital Corp issued a press release entitled “AlphaTON Capital Advances Strategic Roadmap with Revenue Generation from Confidential Compute AI Infrastructure.” A copy of the press release is attached hereto as Exhibit 99.1.</w:t>
      </w:r>
    </w:p>
    <w:p>
      <w:pPr>
        <w:pStyle w:val="TextBody"/>
        <w:bidi w:val="0"/>
        <w:spacing w:before="0" w:after="0"/>
        <w:ind w:left="0" w:right="0" w:hanging="0"/>
        <w:jc w:val="left"/>
        <w:rPr/>
      </w:pPr>
      <w:r>
        <w:rPr/>
        <w:t> </w:t>
      </w:r>
    </w:p>
    <w:tbl>
      <w:tblPr>
        <w:tblW w:w="4150" w:type="dxa"/>
        <w:jc w:val="left"/>
        <w:tblInd w:w="0" w:type="dxa"/>
        <w:tblLayout w:type="fixed"/>
        <w:tblCellMar>
          <w:top w:w="0" w:type="dxa"/>
          <w:left w:w="0" w:type="dxa"/>
          <w:bottom w:w="28" w:type="dxa"/>
          <w:right w:w="0" w:type="dxa"/>
        </w:tblCellMar>
      </w:tblPr>
      <w:tblGrid>
        <w:gridCol w:w="995"/>
        <w:gridCol w:w="60"/>
        <w:gridCol w:w="3095"/>
      </w:tblGrid>
      <w:tr>
        <w:trPr/>
        <w:tc>
          <w:tcPr>
            <w:tcW w:w="995" w:type="dxa"/>
            <w:tcBorders>
              <w:bottom w:val="single" w:sz="8" w:space="0" w:color="000000"/>
            </w:tcBorders>
            <w:vAlign w:val="center"/>
          </w:tcPr>
          <w:p>
            <w:pPr>
              <w:pStyle w:val="TableContents"/>
              <w:bidi w:val="0"/>
              <w:spacing w:before="0" w:after="283"/>
              <w:jc w:val="left"/>
              <w:rPr>
                <w:b/>
                <w:sz w:val="20"/>
              </w:rPr>
            </w:pPr>
            <w:r>
              <w:rPr>
                <w:b/>
                <w:sz w:val="20"/>
              </w:rPr>
              <w:t>Exhibit No.</w:t>
            </w:r>
          </w:p>
        </w:tc>
        <w:tc>
          <w:tcPr>
            <w:tcW w:w="60" w:type="dxa"/>
            <w:tcBorders/>
            <w:tcMar>
              <w:bottom w:w="0" w:type="dxa"/>
            </w:tcMar>
            <w:vAlign w:val="center"/>
          </w:tcPr>
          <w:p>
            <w:pPr>
              <w:pStyle w:val="TableContents"/>
              <w:bidi w:val="0"/>
              <w:spacing w:before="0" w:after="283"/>
              <w:jc w:val="left"/>
              <w:rPr/>
            </w:pPr>
            <w:r>
              <w:rPr/>
              <w:t> </w:t>
            </w:r>
          </w:p>
        </w:tc>
        <w:tc>
          <w:tcPr>
            <w:tcW w:w="3095" w:type="dxa"/>
            <w:tcBorders>
              <w:bottom w:val="single" w:sz="8" w:space="0" w:color="000000"/>
            </w:tcBorders>
            <w:vAlign w:val="center"/>
          </w:tcPr>
          <w:p>
            <w:pPr>
              <w:pStyle w:val="TableContents"/>
              <w:bidi w:val="0"/>
              <w:spacing w:before="0" w:after="283"/>
              <w:jc w:val="left"/>
              <w:rPr>
                <w:b/>
                <w:sz w:val="20"/>
              </w:rPr>
            </w:pPr>
            <w:r>
              <w:rPr>
                <w:b/>
                <w:sz w:val="20"/>
              </w:rPr>
              <w:t>Description</w:t>
            </w:r>
          </w:p>
        </w:tc>
      </w:tr>
      <w:tr>
        <w:trPr/>
        <w:tc>
          <w:tcPr>
            <w:tcW w:w="99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3095" w:type="dxa"/>
            <w:tcBorders/>
            <w:tcMar>
              <w:bottom w:w="0" w:type="dxa"/>
            </w:tcMar>
            <w:vAlign w:val="center"/>
          </w:tcPr>
          <w:p>
            <w:pPr>
              <w:pStyle w:val="TableContents"/>
              <w:bidi w:val="0"/>
              <w:spacing w:before="0" w:after="283"/>
              <w:jc w:val="left"/>
              <w:rPr/>
            </w:pPr>
            <w:r>
              <w:rPr/>
              <w:t> </w:t>
            </w:r>
          </w:p>
        </w:tc>
      </w:tr>
      <w:tr>
        <w:trPr/>
        <w:tc>
          <w:tcPr>
            <w:tcW w:w="995" w:type="dxa"/>
            <w:tcBorders/>
            <w:tcMar>
              <w:bottom w:w="0" w:type="dxa"/>
            </w:tcMar>
            <w:vAlign w:val="center"/>
          </w:tcPr>
          <w:p>
            <w:pPr>
              <w:pStyle w:val="TableContents"/>
              <w:bidi w:val="0"/>
              <w:spacing w:before="0" w:after="283"/>
              <w:jc w:val="left"/>
              <w:rPr/>
            </w:pPr>
            <w:hyperlink w:anchor="a_001">
              <w:r>
                <w:rPr>
                  <w:rStyle w:val="InternetLink"/>
                  <w:sz w:val="20"/>
                </w:rPr>
                <w:t>99.1</w:t>
              </w:r>
            </w:hyperlink>
          </w:p>
        </w:tc>
        <w:tc>
          <w:tcPr>
            <w:tcW w:w="60" w:type="dxa"/>
            <w:tcBorders/>
            <w:tcMar>
              <w:bottom w:w="0" w:type="dxa"/>
            </w:tcMar>
            <w:vAlign w:val="center"/>
          </w:tcPr>
          <w:p>
            <w:pPr>
              <w:pStyle w:val="TableContents"/>
              <w:bidi w:val="0"/>
              <w:spacing w:before="0" w:after="283"/>
              <w:jc w:val="left"/>
              <w:rPr/>
            </w:pPr>
            <w:r>
              <w:rPr/>
              <w:t> </w:t>
            </w:r>
          </w:p>
        </w:tc>
        <w:tc>
          <w:tcPr>
            <w:tcW w:w="3095" w:type="dxa"/>
            <w:tcBorders/>
            <w:tcMar>
              <w:bottom w:w="0" w:type="dxa"/>
            </w:tcMar>
            <w:vAlign w:val="center"/>
          </w:tcPr>
          <w:p>
            <w:pPr>
              <w:pStyle w:val="TableContents"/>
              <w:bidi w:val="0"/>
              <w:spacing w:before="0" w:after="283"/>
              <w:jc w:val="left"/>
              <w:rPr/>
            </w:pPr>
            <w:hyperlink w:anchor="a_001">
              <w:r>
                <w:rPr>
                  <w:rStyle w:val="InternetLink"/>
                  <w:sz w:val="20"/>
                </w:rPr>
                <w:t>Press Release, dated January 28, 2026</w:t>
              </w:r>
            </w:hyperlink>
          </w:p>
        </w:tc>
      </w:tr>
    </w:tbl>
    <w:p>
      <w:pPr>
        <w:pStyle w:val="TextBody"/>
        <w:bidi w:val="0"/>
        <w:spacing w:before="0" w:after="0"/>
        <w:ind w:left="0" w:right="0" w:hanging="0"/>
        <w:jc w:val="center"/>
        <w:rPr/>
      </w:pPr>
      <w:r>
        <w:rPr/>
        <w:t> </w:t>
      </w:r>
    </w:p>
    <w:p>
      <w:pPr>
        <w:pStyle w:val="TextBody"/>
        <w:bidi w:val="0"/>
        <w:spacing w:before="0" w:after="0"/>
        <w:ind w:left="0" w:right="0" w:hanging="0"/>
        <w:jc w:val="center"/>
        <w:rPr/>
      </w:pPr>
      <w:r>
        <w:rPr/>
        <w:t> </w:t>
      </w:r>
    </w:p>
    <w:p>
      <w:pPr>
        <w:pStyle w:val="TextBody"/>
        <w:bidi w:val="0"/>
        <w:spacing w:before="0" w:after="0"/>
        <w:ind w:left="0" w:right="0" w:hanging="0"/>
        <w:jc w:val="center"/>
        <w:rPr/>
      </w:pPr>
      <w:r>
        <w:rPr/>
        <w:t> </w:t>
      </w:r>
    </w:p>
    <w:p>
      <w:pPr>
        <w:pStyle w:val="TextBody"/>
        <w:bidi w:val="0"/>
        <w:spacing w:before="0" w:after="0"/>
        <w:ind w:left="0" w:right="0" w:hanging="0"/>
        <w:jc w:val="center"/>
        <w:rPr/>
      </w:pPr>
      <w:r>
        <w:rPr/>
        <w:t> </w:t>
      </w:r>
    </w:p>
    <w:p>
      <w:pPr>
        <w:pStyle w:val="TextBody"/>
        <w:bidi w:val="0"/>
        <w:spacing w:before="0" w:after="0"/>
        <w:ind w:left="0" w:right="0" w:hanging="0"/>
        <w:jc w:val="center"/>
        <w:rPr/>
      </w:pPr>
      <w:r>
        <w:rPr/>
        <w:t> </w:t>
      </w:r>
    </w:p>
    <w:p>
      <w:pPr>
        <w:pStyle w:val="TextBody"/>
        <w:bidi w:val="0"/>
        <w:spacing w:before="0" w:after="0"/>
        <w:ind w:left="0" w:right="0" w:hanging="0"/>
        <w:jc w:val="center"/>
        <w:rPr/>
      </w:pPr>
      <w:r>
        <w:rPr/>
        <w:t> </w:t>
      </w:r>
    </w:p>
    <w:p>
      <w:pPr>
        <w:pStyle w:val="TextBody"/>
        <w:bidi w:val="0"/>
        <w:spacing w:before="0" w:after="0"/>
        <w:ind w:left="0" w:right="0" w:hanging="0"/>
        <w:jc w:val="left"/>
        <w:rPr>
          <w:bdr w:val="single" w:sz="32" w:space="1" w:color="000000"/>
        </w:rPr>
      </w:pPr>
      <w:r>
        <w:rPr>
          <w:bdr w:val="single" w:sz="32"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center"/>
        <w:rPr/>
      </w:pPr>
      <w:r>
        <w:rPr/>
        <w:t> </w:t>
      </w:r>
    </w:p>
    <w:p>
      <w:pPr>
        <w:pStyle w:val="TextBody"/>
        <w:bidi w:val="0"/>
        <w:spacing w:before="0" w:after="0"/>
        <w:ind w:left="0" w:right="0" w:hanging="0"/>
        <w:jc w:val="center"/>
        <w:rPr>
          <w:b/>
          <w:sz w:val="20"/>
        </w:rPr>
      </w:pPr>
      <w:r>
        <w:rPr>
          <w:b/>
          <w:sz w:val="20"/>
        </w:rPr>
        <w:t>SIGNATURE</w:t>
      </w:r>
    </w:p>
    <w:p>
      <w:pPr>
        <w:pStyle w:val="TextBody"/>
        <w:bidi w:val="0"/>
        <w:spacing w:before="0" w:after="0"/>
        <w:ind w:left="0" w:right="0" w:hanging="0"/>
        <w:jc w:val="center"/>
        <w:rPr/>
      </w:pPr>
      <w:r>
        <w:rPr/>
        <w:t> </w:t>
      </w:r>
    </w:p>
    <w:p>
      <w:pPr>
        <w:pStyle w:val="TextBody"/>
        <w:bidi w:val="0"/>
        <w:spacing w:before="0" w:after="0"/>
        <w:ind w:left="0" w:right="0" w:hanging="0"/>
        <w:jc w:val="left"/>
        <w:rPr>
          <w:sz w:val="20"/>
        </w:rPr>
      </w:pPr>
      <w:r>
        <w:rPr>
          <w:sz w:val="20"/>
        </w:rPr>
        <w:t>Pursuant to the requirements of the Securities Exchange Act of 1934, the registrant has duly caused this report to be signed on its behalf by the undersigned, thereunto duly authorized.</w:t>
      </w:r>
    </w:p>
    <w:p>
      <w:pPr>
        <w:pStyle w:val="TextBody"/>
        <w:bidi w:val="0"/>
        <w:spacing w:before="0" w:after="0"/>
        <w:ind w:left="0" w:right="0" w:hanging="0"/>
        <w:jc w:val="left"/>
        <w:rPr/>
      </w:pPr>
      <w:r>
        <w:rPr/>
        <w:t> </w:t>
      </w:r>
    </w:p>
    <w:p>
      <w:pPr>
        <w:pStyle w:val="TextBody"/>
        <w:bidi w:val="0"/>
        <w:spacing w:before="0" w:after="0"/>
        <w:ind w:left="0" w:right="0" w:hanging="0"/>
        <w:jc w:val="left"/>
        <w:rPr>
          <w:sz w:val="20"/>
        </w:rPr>
      </w:pPr>
      <w:r>
        <w:rPr>
          <w:sz w:val="20"/>
        </w:rPr>
        <w:t>Date: January 28, 2026</w:t>
      </w:r>
    </w:p>
    <w:p>
      <w:pPr>
        <w:pStyle w:val="TextBody"/>
        <w:bidi w:val="0"/>
        <w:spacing w:before="0" w:after="0"/>
        <w:ind w:left="0" w:right="0" w:hanging="0"/>
        <w:jc w:val="left"/>
        <w:rPr/>
      </w:pPr>
      <w:r>
        <w:rPr/>
        <w:t> </w:t>
      </w:r>
    </w:p>
    <w:p>
      <w:pPr>
        <w:pStyle w:val="TextBody"/>
        <w:bidi w:val="0"/>
        <w:spacing w:before="0" w:after="0"/>
        <w:ind w:left="0" w:right="0" w:hanging="0"/>
        <w:jc w:val="left"/>
        <w:rPr>
          <w:b/>
          <w:sz w:val="20"/>
        </w:rPr>
      </w:pPr>
      <w:r>
        <w:rPr>
          <w:b/>
          <w:sz w:val="20"/>
        </w:rPr>
        <w:t>ALPHATON CAPITAL CORP</w:t>
      </w:r>
    </w:p>
    <w:p>
      <w:pPr>
        <w:pStyle w:val="TextBody"/>
        <w:bidi w:val="0"/>
        <w:spacing w:before="0" w:after="0"/>
        <w:ind w:left="0" w:right="0" w:hanging="0"/>
        <w:jc w:val="left"/>
        <w:rPr/>
      </w:pPr>
      <w:r>
        <w:rPr/>
        <w:t> </w:t>
      </w:r>
    </w:p>
    <w:tbl>
      <w:tblPr>
        <w:tblW w:w="2350" w:type="dxa"/>
        <w:jc w:val="left"/>
        <w:tblInd w:w="0" w:type="dxa"/>
        <w:tblLayout w:type="fixed"/>
        <w:tblCellMar>
          <w:top w:w="0" w:type="dxa"/>
          <w:left w:w="0" w:type="dxa"/>
          <w:bottom w:w="0" w:type="dxa"/>
          <w:right w:w="0" w:type="dxa"/>
        </w:tblCellMar>
      </w:tblPr>
      <w:tblGrid>
        <w:gridCol w:w="335"/>
        <w:gridCol w:w="1940"/>
        <w:gridCol w:w="75"/>
      </w:tblGrid>
      <w:tr>
        <w:trPr/>
        <w:tc>
          <w:tcPr>
            <w:tcW w:w="335" w:type="dxa"/>
            <w:tcBorders/>
            <w:vAlign w:val="center"/>
          </w:tcPr>
          <w:p>
            <w:pPr>
              <w:pStyle w:val="TableContents"/>
              <w:bidi w:val="0"/>
              <w:spacing w:before="0" w:after="283"/>
              <w:jc w:val="left"/>
              <w:rPr>
                <w:sz w:val="20"/>
              </w:rPr>
            </w:pPr>
            <w:r>
              <w:rPr>
                <w:sz w:val="20"/>
              </w:rPr>
              <w:t>By:</w:t>
            </w:r>
          </w:p>
        </w:tc>
        <w:tc>
          <w:tcPr>
            <w:tcW w:w="1940" w:type="dxa"/>
            <w:tcBorders>
              <w:bottom w:val="single" w:sz="8" w:space="0" w:color="000000"/>
            </w:tcBorders>
            <w:tcMar>
              <w:bottom w:w="28" w:type="dxa"/>
            </w:tcMar>
            <w:vAlign w:val="center"/>
          </w:tcPr>
          <w:p>
            <w:pPr>
              <w:pStyle w:val="TableContents"/>
              <w:bidi w:val="0"/>
              <w:spacing w:before="0" w:after="283"/>
              <w:jc w:val="left"/>
              <w:rPr>
                <w:sz w:val="20"/>
              </w:rPr>
            </w:pPr>
            <w:r>
              <w:rPr>
                <w:sz w:val="20"/>
              </w:rPr>
              <w:t>/s/ Brittany Kaiser</w:t>
            </w:r>
          </w:p>
        </w:tc>
        <w:tc>
          <w:tcPr>
            <w:tcW w:w="75" w:type="dxa"/>
            <w:tcBorders/>
            <w:vAlign w:val="center"/>
          </w:tcPr>
          <w:p>
            <w:pPr>
              <w:pStyle w:val="TableContents"/>
              <w:bidi w:val="0"/>
              <w:spacing w:before="0" w:after="283"/>
              <w:jc w:val="left"/>
              <w:rPr/>
            </w:pPr>
            <w:r>
              <w:rPr/>
              <w:t> </w:t>
            </w:r>
          </w:p>
        </w:tc>
      </w:tr>
      <w:tr>
        <w:trPr/>
        <w:tc>
          <w:tcPr>
            <w:tcW w:w="335" w:type="dxa"/>
            <w:tcBorders/>
            <w:vAlign w:val="center"/>
          </w:tcPr>
          <w:p>
            <w:pPr>
              <w:pStyle w:val="TableContents"/>
              <w:bidi w:val="0"/>
              <w:spacing w:before="0" w:after="283"/>
              <w:jc w:val="left"/>
              <w:rPr/>
            </w:pPr>
            <w:r>
              <w:rPr/>
              <w:t> </w:t>
            </w:r>
          </w:p>
        </w:tc>
        <w:tc>
          <w:tcPr>
            <w:tcW w:w="1940" w:type="dxa"/>
            <w:tcBorders/>
            <w:vAlign w:val="center"/>
          </w:tcPr>
          <w:p>
            <w:pPr>
              <w:pStyle w:val="TableContents"/>
              <w:bidi w:val="0"/>
              <w:spacing w:before="0" w:after="283"/>
              <w:jc w:val="left"/>
              <w:rPr>
                <w:sz w:val="20"/>
              </w:rPr>
            </w:pPr>
            <w:r>
              <w:rPr>
                <w:sz w:val="20"/>
              </w:rPr>
              <w:t>Brittany Kaiser</w:t>
            </w:r>
          </w:p>
        </w:tc>
        <w:tc>
          <w:tcPr>
            <w:tcW w:w="75" w:type="dxa"/>
            <w:tcBorders/>
            <w:vAlign w:val="center"/>
          </w:tcPr>
          <w:p>
            <w:pPr>
              <w:pStyle w:val="TableContents"/>
              <w:bidi w:val="0"/>
              <w:spacing w:before="0" w:after="283"/>
              <w:jc w:val="left"/>
              <w:rPr/>
            </w:pPr>
            <w:r>
              <w:rPr/>
              <w:t> </w:t>
            </w:r>
          </w:p>
        </w:tc>
      </w:tr>
      <w:tr>
        <w:trPr/>
        <w:tc>
          <w:tcPr>
            <w:tcW w:w="335" w:type="dxa"/>
            <w:tcBorders/>
            <w:vAlign w:val="center"/>
          </w:tcPr>
          <w:p>
            <w:pPr>
              <w:pStyle w:val="TableContents"/>
              <w:bidi w:val="0"/>
              <w:spacing w:before="0" w:after="283"/>
              <w:jc w:val="left"/>
              <w:rPr/>
            </w:pPr>
            <w:r>
              <w:rPr/>
              <w:t> </w:t>
            </w:r>
          </w:p>
        </w:tc>
        <w:tc>
          <w:tcPr>
            <w:tcW w:w="1940" w:type="dxa"/>
            <w:tcBorders/>
            <w:vAlign w:val="center"/>
          </w:tcPr>
          <w:p>
            <w:pPr>
              <w:pStyle w:val="TableContents"/>
              <w:bidi w:val="0"/>
              <w:spacing w:before="0" w:after="283"/>
              <w:jc w:val="left"/>
              <w:rPr>
                <w:sz w:val="20"/>
              </w:rPr>
            </w:pPr>
            <w:r>
              <w:rPr>
                <w:sz w:val="20"/>
              </w:rPr>
              <w:t>Chief Executive Officer</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bdr w:val="single" w:sz="32" w:space="1" w:color="000000"/>
        </w:rPr>
      </w:pPr>
      <w:r>
        <w:rPr>
          <w:bdr w:val="single" w:sz="32"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jc w:val="right"/>
        <w:rPr/>
      </w:pPr>
      <w:bookmarkStart w:id="2" w:name="a_001"/>
      <w:bookmarkEnd w:id="2"/>
      <w:r>
        <w:rPr>
          <w:rStyle w:val="StrongEmphasis"/>
        </w:rPr>
        <w:t>EXHIBIT 99.1</w:t>
      </w:r>
    </w:p>
    <w:p>
      <w:pPr>
        <w:pStyle w:val="TextBody"/>
        <w:bidi w:val="0"/>
        <w:jc w:val="center"/>
        <w:rPr/>
      </w:pPr>
      <w:r>
        <w:rPr>
          <w:rStyle w:val="StrongEmphasis"/>
          <w:sz w:val="28"/>
        </w:rPr>
        <w:t>AlphaTON Capital Advances Strategic Roadmap with Revenue Generation from Confidential Compute AI Infrastructure</w:t>
      </w:r>
    </w:p>
    <w:p>
      <w:pPr>
        <w:pStyle w:val="TextBody"/>
        <w:bidi w:val="0"/>
        <w:jc w:val="center"/>
        <w:rPr/>
      </w:pPr>
      <w:r>
        <w:rPr>
          <w:rStyle w:val="StrongEmphasis"/>
        </w:rPr>
        <w:t>AlphaTON Raised Net $44 Million in Capital and is Generating Revenue with AI Infrastructure from Telegram’s Cocoon AI</w:t>
      </w:r>
    </w:p>
    <w:p>
      <w:pPr>
        <w:pStyle w:val="TextBody"/>
        <w:bidi w:val="0"/>
        <w:spacing w:before="0" w:after="283"/>
        <w:jc w:val="left"/>
        <w:rPr/>
      </w:pPr>
      <w:r>
        <w:rPr/>
        <w:t>New York, NY, Jan. 28, 2026 (GLOBE NEWSWIRE) -- AlphaTON Capital Corp. (Nasdaq: ATON) ("AlphaTON" or the "Company"), the world's leading public technology company scaling the Telegram super-app with an addressable market of one billion monthly active users, today provided a comprehensive update on strategic initiatives. The Company has raised net $44 million in capital, expanded its AI infrastructure deployment, and is establishing additional revenue-generating partnerships that position AlphaTON as a foundational infrastructure provider for privacy-preserving artificial intelligence.</w:t>
      </w:r>
    </w:p>
    <w:p>
      <w:pPr>
        <w:pStyle w:val="TextBody"/>
        <w:bidi w:val="0"/>
        <w:spacing w:before="0" w:after="283"/>
        <w:jc w:val="left"/>
        <w:rPr/>
      </w:pPr>
      <w:r>
        <w:rPr>
          <w:rStyle w:val="StrongEmphasis"/>
        </w:rPr>
        <w:t>Balance Sheet Update &amp; Capital Markets Activity</w:t>
      </w:r>
    </w:p>
    <w:p>
      <w:pPr>
        <w:pStyle w:val="TextBody"/>
        <w:bidi w:val="0"/>
        <w:spacing w:before="0" w:after="283"/>
        <w:jc w:val="left"/>
        <w:rPr/>
      </w:pPr>
      <w:r>
        <w:rPr/>
        <w:t>AlphaTON has executed a disciplined capital strategy to fund infrastructure expansion while maintaining financial flexibility:</w:t>
      </w:r>
    </w:p>
    <w:p>
      <w:pPr>
        <w:pStyle w:val="TextBody"/>
        <w:numPr>
          <w:ilvl w:val="0"/>
          <w:numId w:val="2"/>
        </w:numPr>
        <w:tabs>
          <w:tab w:val="clear" w:pos="1134"/>
          <w:tab w:val="left" w:pos="709" w:leader="none"/>
        </w:tabs>
        <w:bidi w:val="0"/>
        <w:spacing w:before="0" w:after="0"/>
        <w:ind w:left="709" w:hanging="283"/>
        <w:jc w:val="left"/>
        <w:rPr/>
      </w:pPr>
      <w:r>
        <w:rPr/>
        <w:t xml:space="preserve">Recent Capital Raise: Closed $15 million registered direct offering at $1.00 per share. Majority of net proceeds are allocated to GPU AI infrastructure scaling for Cocoon AI and working capital for the Company. </w:t>
      </w:r>
    </w:p>
    <w:p>
      <w:pPr>
        <w:pStyle w:val="TextBody"/>
        <w:numPr>
          <w:ilvl w:val="0"/>
          <w:numId w:val="2"/>
        </w:numPr>
        <w:tabs>
          <w:tab w:val="clear" w:pos="1134"/>
          <w:tab w:val="left" w:pos="709" w:leader="none"/>
        </w:tabs>
        <w:bidi w:val="0"/>
        <w:spacing w:before="0" w:after="0"/>
        <w:ind w:left="709" w:hanging="283"/>
        <w:jc w:val="left"/>
        <w:rPr/>
      </w:pPr>
      <w:r>
        <w:rPr/>
        <w:t xml:space="preserve">Infrastructure Investment: Initiated a $46 million investment in AI infrastructure expansion on January 5, 2026, for a total of 576 NVIDIA B300 chips. This deployment, scheduled for delivery in March 2026, is projected to deliver a 27% IRR, 282% ROI, and a Net Present Value of $11 million. </w:t>
      </w:r>
    </w:p>
    <w:p>
      <w:pPr>
        <w:pStyle w:val="TextBody"/>
        <w:numPr>
          <w:ilvl w:val="0"/>
          <w:numId w:val="2"/>
        </w:numPr>
        <w:tabs>
          <w:tab w:val="clear" w:pos="1134"/>
          <w:tab w:val="left" w:pos="709" w:leader="none"/>
        </w:tabs>
        <w:bidi w:val="0"/>
        <w:ind w:left="709" w:hanging="283"/>
        <w:jc w:val="left"/>
        <w:rPr/>
      </w:pPr>
      <w:r>
        <w:rPr/>
        <w:t>SEC Compliance Milestone: Exited SEC "baby-shelf" restrictions on December 3, 2025, filing a $420.69 million shelf registration statement, declared effective December 11, 2025. This provides enhanced financing flexibility for strategic acquisitions and infrastructure deployment.</w:t>
      </w:r>
    </w:p>
    <w:p>
      <w:pPr>
        <w:pStyle w:val="TextBody"/>
        <w:bidi w:val="0"/>
        <w:spacing w:before="0" w:after="283"/>
        <w:jc w:val="left"/>
        <w:rPr/>
      </w:pPr>
      <w:r>
        <w:rPr>
          <w:rStyle w:val="StrongEmphasis"/>
        </w:rPr>
        <w:t>AI Infrastructure Deployment &amp; Revenue Generation</w:t>
      </w:r>
    </w:p>
    <w:p>
      <w:pPr>
        <w:pStyle w:val="TextBody"/>
        <w:bidi w:val="0"/>
        <w:spacing w:before="0" w:after="283"/>
        <w:jc w:val="left"/>
        <w:rPr/>
      </w:pPr>
      <w:r>
        <w:rPr/>
        <w:t>AlphaTON has rapidly deployed GPU infrastructure to capture the emerging opportunity in privacy-preserving AI compute:</w:t>
      </w:r>
    </w:p>
    <w:p>
      <w:pPr>
        <w:pStyle w:val="TextBody"/>
        <w:numPr>
          <w:ilvl w:val="0"/>
          <w:numId w:val="3"/>
        </w:numPr>
        <w:tabs>
          <w:tab w:val="clear" w:pos="1134"/>
          <w:tab w:val="left" w:pos="709" w:leader="none"/>
        </w:tabs>
        <w:bidi w:val="0"/>
        <w:spacing w:before="0" w:after="0"/>
        <w:ind w:left="709" w:hanging="283"/>
        <w:jc w:val="left"/>
        <w:rPr/>
      </w:pPr>
      <w:r>
        <w:rPr/>
        <w:t xml:space="preserve">Cocoon AI Network Launch: Successfully deployed initial B200 GPU fleet on November 30, 2025, coinciding with Telegram's official Cocoon AI network launch. The Company began generating revenue in December from AI inference processing. </w:t>
      </w:r>
    </w:p>
    <w:p>
      <w:pPr>
        <w:pStyle w:val="TextBody"/>
        <w:numPr>
          <w:ilvl w:val="0"/>
          <w:numId w:val="3"/>
        </w:numPr>
        <w:tabs>
          <w:tab w:val="clear" w:pos="1134"/>
          <w:tab w:val="left" w:pos="709" w:leader="none"/>
        </w:tabs>
        <w:bidi w:val="0"/>
        <w:spacing w:before="0" w:after="0"/>
        <w:ind w:left="709" w:hanging="283"/>
        <w:jc w:val="left"/>
        <w:rPr/>
      </w:pPr>
      <w:r>
        <w:rPr/>
        <w:t xml:space="preserve">Advanced GPU Deployments: Deployed H200 GPUs on December 8, 2025, and secured first NVIDIA B300 chips with Supermicro HGX systems via Atlantic AI partnership on December 15, 2025. Launched #OwnYourNode program enabling retail and institutional access to fractionalized GPU ownership. Signed purchase order for first half cluster of 576 x B300s for delivery in March 2026.  </w:t>
      </w:r>
    </w:p>
    <w:p>
      <w:pPr>
        <w:pStyle w:val="TextBody"/>
        <w:numPr>
          <w:ilvl w:val="0"/>
          <w:numId w:val="3"/>
        </w:numPr>
        <w:tabs>
          <w:tab w:val="clear" w:pos="1134"/>
          <w:tab w:val="left" w:pos="709" w:leader="none"/>
        </w:tabs>
        <w:bidi w:val="0"/>
        <w:ind w:left="709" w:hanging="283"/>
        <w:jc w:val="left"/>
        <w:rPr/>
      </w:pPr>
      <w:r>
        <w:rPr/>
        <w:t>Data Center Infrastructure: Executed five-year enterprise colocation agreement with atNorth AB on December 11, 2025, securing 2.2 MW of high-performance computing capacity in Sweden powered by 100% renewable power.</w:t>
      </w:r>
    </w:p>
    <w:p>
      <w:pPr>
        <w:pStyle w:val="TextBody"/>
        <w:bidi w:val="0"/>
        <w:spacing w:before="0" w:after="283"/>
        <w:jc w:val="left"/>
        <w:rPr/>
      </w:pPr>
      <w:r>
        <w:rPr>
          <w:rStyle w:val="StrongEmphasis"/>
        </w:rPr>
        <w:t>Strategic Partnerships &amp; Technology Integration</w:t>
      </w:r>
    </w:p>
    <w:p>
      <w:pPr>
        <w:pStyle w:val="TextBody"/>
        <w:bidi w:val="0"/>
        <w:spacing w:before="0" w:after="283"/>
        <w:jc w:val="left"/>
        <w:rPr/>
      </w:pPr>
      <w:r>
        <w:rPr/>
        <w:t>AlphaTON has established partnerships that are expected to create additional revenue streams and vertically integrate into the Company’s Confidential Compute AI Infrastructure:</w:t>
      </w:r>
    </w:p>
    <w:p>
      <w:pPr>
        <w:pStyle w:val="TextBody"/>
        <w:numPr>
          <w:ilvl w:val="0"/>
          <w:numId w:val="4"/>
        </w:numPr>
        <w:tabs>
          <w:tab w:val="clear" w:pos="1134"/>
          <w:tab w:val="left" w:pos="709" w:leader="none"/>
        </w:tabs>
        <w:bidi w:val="0"/>
        <w:spacing w:before="0" w:after="0"/>
        <w:ind w:left="709" w:hanging="283"/>
        <w:jc w:val="left"/>
        <w:rPr/>
      </w:pPr>
      <w:r>
        <w:rPr/>
        <w:t xml:space="preserve">Midnight Foundation Partnership: Signed definitive agreement effective December 2025 establishing AlphaTON as a Founding Federated Node Architecture Provider for privacy-preserving AI. Agreement generates immediate monthly revenue and includes reimbursement for documented network growth costs. </w:t>
      </w:r>
    </w:p>
    <w:p>
      <w:pPr>
        <w:pStyle w:val="TextBody"/>
        <w:numPr>
          <w:ilvl w:val="0"/>
          <w:numId w:val="4"/>
        </w:numPr>
        <w:tabs>
          <w:tab w:val="clear" w:pos="1134"/>
          <w:tab w:val="left" w:pos="709" w:leader="none"/>
        </w:tabs>
        <w:bidi w:val="0"/>
        <w:spacing w:before="0" w:after="0"/>
        <w:ind w:left="709" w:hanging="283"/>
        <w:jc w:val="left"/>
        <w:rPr/>
      </w:pPr>
      <w:r>
        <w:rPr/>
        <w:t xml:space="preserve">Claude Connector Launch: Launched AlphaTON Claude Connector on January 21, 2026, an open-source platform combining Anthropic's Claude AI with TON blockchain technology via Telegram. The solution enables mainstream users to manage digital assets through natural-language conversations. </w:t>
      </w:r>
    </w:p>
    <w:p>
      <w:pPr>
        <w:pStyle w:val="TextBody"/>
        <w:numPr>
          <w:ilvl w:val="0"/>
          <w:numId w:val="4"/>
        </w:numPr>
        <w:tabs>
          <w:tab w:val="clear" w:pos="1134"/>
          <w:tab w:val="left" w:pos="709" w:leader="none"/>
        </w:tabs>
        <w:bidi w:val="0"/>
        <w:ind w:left="709" w:hanging="283"/>
        <w:jc w:val="left"/>
        <w:rPr/>
      </w:pPr>
      <w:r>
        <w:rPr/>
        <w:t>Alpha Liquid Terminal: Developing Agentic trading and monitoring application that will utilize agents to seek best execution across multiple asset classes including tokenized securities, cryptocurrencies, equities, private shares and real world assets. </w:t>
      </w:r>
    </w:p>
    <w:p>
      <w:pPr>
        <w:pStyle w:val="TextBody"/>
        <w:bidi w:val="0"/>
        <w:spacing w:before="0" w:after="283"/>
        <w:jc w:val="left"/>
        <w:rPr/>
      </w:pPr>
      <w:r>
        <w:rPr>
          <w:rStyle w:val="StrongEmphasis"/>
        </w:rPr>
        <w:t>Management Commentary</w:t>
      </w:r>
    </w:p>
    <w:p>
      <w:pPr>
        <w:pStyle w:val="TextBody"/>
        <w:bidi w:val="0"/>
        <w:spacing w:before="0" w:after="283"/>
        <w:jc w:val="left"/>
        <w:rPr/>
      </w:pPr>
      <w:r>
        <w:rPr/>
        <w:t>"Since our November 2025 update, AlphaTON has systematically executed our strategy to transform from a passive digital asset holder into an active infrastructure operator generating recurring revenue," said Brittany Kaiser, Chief Executive Officer of AlphaTON Capital. "The net $44 million in capital deployed has positioned us at the forefront of the privacy-preserving AI infrastructure market. Our GPU deployments are generating revenue today, our partnerships with Midnight Foundation and others create scalable revenue models, and we've secured institutional-grade data center capacity to support continued growth. We are building tangible, revenue-generating assets that we believe will drive significant long-term value for the company."</w:t>
      </w:r>
    </w:p>
    <w:p>
      <w:pPr>
        <w:pStyle w:val="TextBody"/>
        <w:bidi w:val="0"/>
        <w:spacing w:before="0" w:after="283"/>
        <w:jc w:val="left"/>
        <w:rPr/>
      </w:pPr>
      <w:r>
        <w:rPr/>
        <w:t>"Since taking over this Nasdaq listed company as management, over the past two months this team has demonstrated our ability to move decisively and deploy capital efficiently," commented Enzo Villani, Executive Chairman and Chief Investment Officer. "We are much more than a digital asset treasury company, we have taken the mantle to develop a vertically integrated Telegram ecosystem company that combines AI and decentralized blockchain infrastructure on Telegram’s exclusive blockchain, develop, partner and acquire applications successfully deployed on Telegram, and integrate them to provide additional value to the over 1 billion users on Telegram.” </w:t>
      </w:r>
    </w:p>
    <w:p>
      <w:pPr>
        <w:pStyle w:val="TextBody"/>
        <w:bidi w:val="0"/>
        <w:spacing w:before="0" w:after="283"/>
        <w:jc w:val="left"/>
        <w:rPr/>
      </w:pPr>
      <w:r>
        <w:rPr/>
        <w:t>Brittany Kaiser, CEO commented, “Our strategy is simple, build a company that supports Telegram because our mission is focused on the future of privacy-protection and digital identity sovereignty. In our world, owning your ideas and concepts developed with AI is protected, and our goal is to deliver an alternative to centralized technology companies that exploit the user and their information, come join us!” </w:t>
      </w:r>
    </w:p>
    <w:p>
      <w:pPr>
        <w:pStyle w:val="TextBody"/>
        <w:bidi w:val="0"/>
        <w:spacing w:before="0" w:after="283"/>
        <w:jc w:val="left"/>
        <w:rPr/>
      </w:pPr>
      <w:r>
        <w:rPr/>
      </w:r>
    </w:p>
    <w:p>
      <w:pPr>
        <w:pStyle w:val="TextBody"/>
        <w:bidi w:val="0"/>
        <w:spacing w:before="0" w:after="283"/>
        <w:jc w:val="left"/>
        <w:rPr/>
      </w:pPr>
      <w:r>
        <w:rPr>
          <w:rStyle w:val="StrongEmphasis"/>
        </w:rPr>
        <w:t>About AlphaTON Capital Corp. (Nasdaq: ATON)</w:t>
      </w:r>
    </w:p>
    <w:p>
      <w:pPr>
        <w:pStyle w:val="TextBody"/>
        <w:bidi w:val="0"/>
        <w:spacing w:before="0" w:after="283"/>
        <w:jc w:val="left"/>
        <w:rPr/>
      </w:pPr>
      <w:r>
        <w:rPr/>
        <w:t>AlphaTON Capital Corp (NASDAQ: ATON) is the world's leading public technology company scaling the Telegram super app, with an addressable market of 1 billion monthly active users, while managing a strategic reserve of digital assets. The Company implements a comprehensive M&amp;A and treasury strategy that combines direct digital asset acquisition, validator operations, and strategic ecosystem investments to generate sustainable returns for shareholders. Through its operations, AlphaTON Capital provides public market investors with institutional-grade exposure to the TON ecosystem and Telegram's billion-user platform while maintaining the governance standards and reporting transparency of a Nasdaq-listed company. Led by Chief Executive Officer Brittany Kaiser, Executive Chairman and Chief Investment Officer Enzo Villani, and Chief Business Development Officer Yury Mitin, the Company's activities span network validation and staking operations, development of Telegram-based applications, and strategic investments in TON-based decentralized finance protocols, gaming platforms, and business applications.</w:t>
      </w:r>
    </w:p>
    <w:p>
      <w:pPr>
        <w:pStyle w:val="TextBody"/>
        <w:bidi w:val="0"/>
        <w:spacing w:before="0" w:after="283"/>
        <w:jc w:val="left"/>
        <w:rPr/>
      </w:pPr>
      <w:r>
        <w:rPr/>
        <w:t>AlphaTON Capital Corp is incorporated in the British Virgin Islands and trades on Nasdaq under the ticker symbol "ATON". AlphaTON Capital, through its legacy business, is also advancing first-in-class therapies targeting known checkpoint resistance pathways to achieve durable treatment responses and improve patients' quality of life. AlphaTON Capital actively engages in the drug development process and provides strategic counsel to guide the development of novel immunotherapy assets and asset combinations. To learn more, please visit https://alphatoncapital.com/.</w:t>
      </w:r>
    </w:p>
    <w:p>
      <w:pPr>
        <w:pStyle w:val="TextBody"/>
        <w:bidi w:val="0"/>
        <w:spacing w:before="0" w:after="283"/>
        <w:jc w:val="left"/>
        <w:rPr/>
      </w:pPr>
      <w:r>
        <w:rPr>
          <w:rStyle w:val="StrongEmphasis"/>
        </w:rPr>
        <w:t>Forward-Looking Statements</w:t>
      </w:r>
    </w:p>
    <w:p>
      <w:pPr>
        <w:pStyle w:val="TextBody"/>
        <w:bidi w:val="0"/>
        <w:spacing w:before="0" w:after="283"/>
        <w:jc w:val="left"/>
        <w:rPr/>
      </w:pPr>
      <w:r>
        <w:rPr/>
        <w:t>All statements in this press release, other than statements of historical facts, including without limitation, statements regarding the Company’s business strategy, plans and objectives of management for future operations and those statements preceded by, followed by or that otherwise include the words “believe,” “expects,” “anticipates,” “intends,” “estimates,” “will,” “may,” “plans,” “potential,” “continues,” or similar expressions or variations on such expressions are forward-looking statements. Forward-looking statements include statements concerning, among other things, the Company’s projections for its AI infrastructure expansion deployment; the Company’s expectations that its partnerships will create additional revenue streams and vertically integrate into the Company’s Confidential Compute AI Infrastructure; the Company’s belief that the assets it is building will drive significant long-term value; and other statements that are not historical fact. As a result, forward-looking statements are subject to certain risks and uncertainties, including, but not limited to: the timing, progress and results of the Company’s strategic initiatives, the Company’s reliance on third parties, the risk that the Company may not secure additional financing or TON, the uncertainty of the Company’s investment in TON, the uncertainty around the Company’s legacy business, the operational strategy of the Company, the Company’s executive management team, risks from Telegram’s platform and ecosystem, the potential impact of markets and other general economic conditions, and other factors set forth in “Item 3 – Key Information-Risk Factors” in the Company’s Annual Report on Form 20-F for the year ended March 31, 2025 and included in the Company’s Form 6-Ks filed with the Securities and Exchange Commission on September 3, 2025 and January 13, 2026. Although the Company believes that the expectations reflected in these forward-looking statements are reasonable, undue reliance should not be placed on them as actual results may differ materially from these forward-looking statements. The forward-looking statements contained in this press release are made as of the date hereof, and the Company undertakes no obligation to update publicly or revise any forward-looking statements or information, except as required by law.</w:t>
      </w:r>
    </w:p>
    <w:p>
      <w:pPr>
        <w:pStyle w:val="TextBody"/>
        <w:bidi w:val="0"/>
        <w:spacing w:before="0" w:after="283"/>
        <w:jc w:val="left"/>
        <w:rPr/>
      </w:pPr>
      <w:r>
        <w:rPr>
          <w:rStyle w:val="StrongEmphasis"/>
        </w:rPr>
        <w:t>Investor Relations:</w:t>
      </w:r>
    </w:p>
    <w:p>
      <w:pPr>
        <w:pStyle w:val="TextBody"/>
        <w:bidi w:val="0"/>
        <w:spacing w:before="0" w:after="283"/>
        <w:jc w:val="left"/>
        <w:rPr/>
      </w:pPr>
      <w:r>
        <w:rPr/>
        <w:t>John Ragozzino, CFA</w:t>
        <w:br/>
        <w:t>AlphaTON@icrinc.com</w:t>
        <w:br/>
        <w:t>(203) 682-8200</w:t>
      </w:r>
    </w:p>
    <w:p>
      <w:pPr>
        <w:pStyle w:val="TextBody"/>
        <w:bidi w:val="0"/>
        <w:spacing w:before="0" w:after="283"/>
        <w:jc w:val="left"/>
        <w:rPr/>
      </w:pPr>
      <w:r>
        <w:rPr>
          <w:rStyle w:val="StrongEmphasis"/>
        </w:rPr>
        <w:t>Media Inquiries:</w:t>
      </w:r>
    </w:p>
    <w:p>
      <w:pPr>
        <w:pStyle w:val="TextBody"/>
        <w:bidi w:val="0"/>
        <w:spacing w:before="0" w:after="283"/>
        <w:jc w:val="left"/>
        <w:rPr/>
      </w:pPr>
      <w:r>
        <w:rPr/>
        <w:t>Richard Laermer</w:t>
        <w:br/>
        <w:t>RLM PR</w:t>
        <w:br/>
        <w:t>AlphaTON@rlmpr.com</w:t>
        <w:br/>
        <w:t>(212) 741-5106 X 216</w:t>
      </w:r>
    </w:p>
    <w:p>
      <w:pPr>
        <w:pStyle w:val="TextBody"/>
        <w:bidi w:val="0"/>
        <w:spacing w:before="0" w:after="283"/>
        <w:jc w:val="left"/>
        <w:rPr/>
      </w:pPr>
      <w:r>
        <w:rPr/>
        <w:t>Richard Laermer</w:t>
        <w:br/>
        <w:t>AlphaTON (at) rlmpr.com</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OpenSymbol">
    <w:altName w:val="Arial Unicode MS"/>
    <w:charset w:val="02"/>
    <w:family w:val="auto"/>
    <w:pitch w:val="default"/>
  </w:font>
  <w:font w:name="Liberation Sans">
    <w:altName w:val="Arial"/>
    <w:charset w:val="01"/>
    <w:family w:val="swiss"/>
    <w:pitch w:val="variable"/>
  </w:font>
  <w:font w:name="Symbol">
    <w:charset w:val="02"/>
    <w:family w:val="auto"/>
    <w:pitch w:val="default"/>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1"/>
      <w:lvlJc w:val="left"/>
      <w:pPr>
        <w:tabs>
          <w:tab w:val="num" w:pos="0"/>
        </w:tabs>
        <w:ind w:left="0" w:hanging="0"/>
      </w:pPr>
    </w:lvl>
    <w:lvl w:ilvl="1">
      <w:start w:val="1"/>
      <w:numFmt w:val="none"/>
      <w:suff w:val="nothing"/>
      <w:lvlText w:val="%2"/>
      <w:lvlJc w:val="left"/>
      <w:pPr>
        <w:tabs>
          <w:tab w:val="num" w:pos="0"/>
        </w:tabs>
        <w:ind w:left="0" w:hanging="0"/>
      </w:pPr>
    </w:lvl>
    <w:lvl w:ilvl="2">
      <w:start w:val="1"/>
      <w:numFmt w:val="none"/>
      <w:suff w:val="nothing"/>
      <w:lvlText w:val="%3"/>
      <w:lvlJc w:val="left"/>
      <w:pPr>
        <w:tabs>
          <w:tab w:val="num" w:pos="0"/>
        </w:tabs>
        <w:ind w:left="0" w:hanging="0"/>
      </w:pPr>
    </w:lvl>
    <w:lvl w:ilvl="3">
      <w:start w:val="1"/>
      <w:numFmt w:val="none"/>
      <w:suff w:val="nothing"/>
      <w:lvlText w:val="%4"/>
      <w:lvlJc w:val="left"/>
      <w:pPr>
        <w:tabs>
          <w:tab w:val="num" w:pos="0"/>
        </w:tabs>
        <w:ind w:left="0" w:hanging="0"/>
      </w:pPr>
    </w:lvl>
    <w:lvl w:ilvl="4">
      <w:start w:val="1"/>
      <w:numFmt w:val="none"/>
      <w:suff w:val="nothing"/>
      <w:lvlText w:val="%5"/>
      <w:lvlJc w:val="left"/>
      <w:pPr>
        <w:tabs>
          <w:tab w:val="num" w:pos="0"/>
        </w:tabs>
        <w:ind w:left="0" w:hanging="0"/>
      </w:pPr>
    </w:lvl>
    <w:lvl w:ilvl="5">
      <w:start w:val="1"/>
      <w:numFmt w:val="none"/>
      <w:suff w:val="nothing"/>
      <w:lvlText w:val="%6"/>
      <w:lvlJc w:val="left"/>
      <w:pPr>
        <w:tabs>
          <w:tab w:val="num" w:pos="0"/>
        </w:tabs>
        <w:ind w:left="0" w:hanging="0"/>
      </w:pPr>
    </w:lvl>
    <w:lvl w:ilvl="6">
      <w:start w:val="1"/>
      <w:numFmt w:val="none"/>
      <w:suff w:val="nothing"/>
      <w:lvlText w:val="%7"/>
      <w:lvlJc w:val="left"/>
      <w:pPr>
        <w:tabs>
          <w:tab w:val="num" w:pos="0"/>
        </w:tabs>
        <w:ind w:left="0" w:hanging="0"/>
      </w:pPr>
    </w:lvl>
    <w:lvl w:ilvl="7">
      <w:start w:val="1"/>
      <w:numFmt w:val="none"/>
      <w:suff w:val="nothing"/>
      <w:lvlText w:val="%8"/>
      <w:lvlJc w:val="left"/>
      <w:pPr>
        <w:tabs>
          <w:tab w:val="num" w:pos="0"/>
        </w:tabs>
        <w:ind w:left="0" w:hanging="0"/>
      </w:pPr>
    </w:lvl>
    <w:lvl w:ilvl="8">
      <w:start w:val="1"/>
      <w:numFmt w:val="none"/>
      <w:suff w:val="nothing"/>
      <w:lvlText w:val="%9"/>
      <w:lvlJc w:val="left"/>
      <w:pPr>
        <w:tabs>
          <w:tab w:val="num" w:pos="0"/>
        </w:tabs>
        <w:ind w:left="0" w:hanging="0"/>
      </w:pPr>
    </w:lvl>
  </w:abstractNum>
  <w:abstractNum w:abstractNumId="2">
    <w:lvl w:ilvl="0">
      <w:start w:val="1"/>
      <w:numFmt w:val="bullet"/>
      <w:lvlText w:val=""/>
      <w:lvlJc w:val="left"/>
      <w:pPr>
        <w:tabs>
          <w:tab w:val="num" w:pos="709"/>
        </w:tabs>
        <w:ind w:left="709" w:hanging="283"/>
      </w:pPr>
      <w:rPr>
        <w:rFonts w:ascii="Symbol" w:hAnsi="Symbol" w:cs="Symbol" w:hint="default"/>
      </w:rPr>
    </w:lvl>
    <w:lvl w:ilvl="1">
      <w:start w:val="1"/>
      <w:numFmt w:val="bullet"/>
      <w:lvlText w:val=""/>
      <w:lvlJc w:val="left"/>
      <w:pPr>
        <w:tabs>
          <w:tab w:val="num" w:pos="1418"/>
        </w:tabs>
        <w:ind w:left="1418" w:hanging="283"/>
      </w:pPr>
      <w:rPr>
        <w:rFonts w:ascii="Symbol" w:hAnsi="Symbol" w:cs="Symbol" w:hint="default"/>
      </w:rPr>
    </w:lvl>
    <w:lvl w:ilvl="2">
      <w:start w:val="1"/>
      <w:numFmt w:val="bullet"/>
      <w:lvlText w:val=""/>
      <w:lvlJc w:val="left"/>
      <w:pPr>
        <w:tabs>
          <w:tab w:val="num" w:pos="2127"/>
        </w:tabs>
        <w:ind w:left="2127" w:hanging="283"/>
      </w:pPr>
      <w:rPr>
        <w:rFonts w:ascii="Symbol" w:hAnsi="Symbol" w:cs="Symbol" w:hint="default"/>
      </w:rPr>
    </w:lvl>
    <w:lvl w:ilvl="3">
      <w:start w:val="1"/>
      <w:numFmt w:val="bullet"/>
      <w:lvlText w:val=""/>
      <w:lvlJc w:val="left"/>
      <w:pPr>
        <w:tabs>
          <w:tab w:val="num" w:pos="2836"/>
        </w:tabs>
        <w:ind w:left="2836" w:hanging="283"/>
      </w:pPr>
      <w:rPr>
        <w:rFonts w:ascii="Symbol" w:hAnsi="Symbol" w:cs="Symbol" w:hint="default"/>
      </w:rPr>
    </w:lvl>
    <w:lvl w:ilvl="4">
      <w:start w:val="1"/>
      <w:numFmt w:val="bullet"/>
      <w:lvlText w:val=""/>
      <w:lvlJc w:val="left"/>
      <w:pPr>
        <w:tabs>
          <w:tab w:val="num" w:pos="3545"/>
        </w:tabs>
        <w:ind w:left="3545" w:hanging="283"/>
      </w:pPr>
      <w:rPr>
        <w:rFonts w:ascii="Symbol" w:hAnsi="Symbol" w:cs="Symbol" w:hint="default"/>
      </w:rPr>
    </w:lvl>
    <w:lvl w:ilvl="5">
      <w:start w:val="1"/>
      <w:numFmt w:val="bullet"/>
      <w:lvlText w:val=""/>
      <w:lvlJc w:val="left"/>
      <w:pPr>
        <w:tabs>
          <w:tab w:val="num" w:pos="4254"/>
        </w:tabs>
        <w:ind w:left="4254" w:hanging="283"/>
      </w:pPr>
      <w:rPr>
        <w:rFonts w:ascii="Symbol" w:hAnsi="Symbol" w:cs="Symbol" w:hint="default"/>
      </w:rPr>
    </w:lvl>
    <w:lvl w:ilvl="6">
      <w:start w:val="1"/>
      <w:numFmt w:val="bullet"/>
      <w:lvlText w:val=""/>
      <w:lvlJc w:val="left"/>
      <w:pPr>
        <w:tabs>
          <w:tab w:val="num" w:pos="4963"/>
        </w:tabs>
        <w:ind w:left="4963" w:hanging="283"/>
      </w:pPr>
      <w:rPr>
        <w:rFonts w:ascii="Symbol" w:hAnsi="Symbol" w:cs="Symbol" w:hint="default"/>
      </w:rPr>
    </w:lvl>
    <w:lvl w:ilvl="7">
      <w:start w:val="1"/>
      <w:numFmt w:val="bullet"/>
      <w:lvlText w:val=""/>
      <w:lvlJc w:val="left"/>
      <w:pPr>
        <w:tabs>
          <w:tab w:val="num" w:pos="5672"/>
        </w:tabs>
        <w:ind w:left="5672" w:hanging="283"/>
      </w:pPr>
      <w:rPr>
        <w:rFonts w:ascii="Symbol" w:hAnsi="Symbol" w:cs="Symbol" w:hint="default"/>
      </w:rPr>
    </w:lvl>
    <w:lvl w:ilvl="8">
      <w:start w:val="1"/>
      <w:numFmt w:val="bullet"/>
      <w:lvlText w:val=""/>
      <w:lvlJc w:val="left"/>
      <w:pPr>
        <w:tabs>
          <w:tab w:val="num" w:pos="6381"/>
        </w:tabs>
        <w:ind w:left="6381" w:hanging="283"/>
      </w:pPr>
      <w:rPr>
        <w:rFonts w:ascii="Symbol" w:hAnsi="Symbol" w:cs="Symbol" w:hint="default"/>
      </w:rPr>
    </w:lvl>
  </w:abstractNum>
  <w:abstractNum w:abstractNumId="3">
    <w:lvl w:ilvl="0">
      <w:start w:val="1"/>
      <w:numFmt w:val="bullet"/>
      <w:lvlText w:val=""/>
      <w:lvlJc w:val="left"/>
      <w:pPr>
        <w:tabs>
          <w:tab w:val="num" w:pos="709"/>
        </w:tabs>
        <w:ind w:left="709" w:hanging="283"/>
      </w:pPr>
      <w:rPr>
        <w:rFonts w:ascii="Symbol" w:hAnsi="Symbol" w:cs="Symbol" w:hint="default"/>
      </w:rPr>
    </w:lvl>
    <w:lvl w:ilvl="1">
      <w:start w:val="1"/>
      <w:numFmt w:val="bullet"/>
      <w:lvlText w:val=""/>
      <w:lvlJc w:val="left"/>
      <w:pPr>
        <w:tabs>
          <w:tab w:val="num" w:pos="1418"/>
        </w:tabs>
        <w:ind w:left="1418" w:hanging="283"/>
      </w:pPr>
      <w:rPr>
        <w:rFonts w:ascii="Symbol" w:hAnsi="Symbol" w:cs="Symbol" w:hint="default"/>
      </w:rPr>
    </w:lvl>
    <w:lvl w:ilvl="2">
      <w:start w:val="1"/>
      <w:numFmt w:val="bullet"/>
      <w:lvlText w:val=""/>
      <w:lvlJc w:val="left"/>
      <w:pPr>
        <w:tabs>
          <w:tab w:val="num" w:pos="2127"/>
        </w:tabs>
        <w:ind w:left="2127" w:hanging="283"/>
      </w:pPr>
      <w:rPr>
        <w:rFonts w:ascii="Symbol" w:hAnsi="Symbol" w:cs="Symbol" w:hint="default"/>
      </w:rPr>
    </w:lvl>
    <w:lvl w:ilvl="3">
      <w:start w:val="1"/>
      <w:numFmt w:val="bullet"/>
      <w:lvlText w:val=""/>
      <w:lvlJc w:val="left"/>
      <w:pPr>
        <w:tabs>
          <w:tab w:val="num" w:pos="2836"/>
        </w:tabs>
        <w:ind w:left="2836" w:hanging="283"/>
      </w:pPr>
      <w:rPr>
        <w:rFonts w:ascii="Symbol" w:hAnsi="Symbol" w:cs="Symbol" w:hint="default"/>
      </w:rPr>
    </w:lvl>
    <w:lvl w:ilvl="4">
      <w:start w:val="1"/>
      <w:numFmt w:val="bullet"/>
      <w:lvlText w:val=""/>
      <w:lvlJc w:val="left"/>
      <w:pPr>
        <w:tabs>
          <w:tab w:val="num" w:pos="3545"/>
        </w:tabs>
        <w:ind w:left="3545" w:hanging="283"/>
      </w:pPr>
      <w:rPr>
        <w:rFonts w:ascii="Symbol" w:hAnsi="Symbol" w:cs="Symbol" w:hint="default"/>
      </w:rPr>
    </w:lvl>
    <w:lvl w:ilvl="5">
      <w:start w:val="1"/>
      <w:numFmt w:val="bullet"/>
      <w:lvlText w:val=""/>
      <w:lvlJc w:val="left"/>
      <w:pPr>
        <w:tabs>
          <w:tab w:val="num" w:pos="4254"/>
        </w:tabs>
        <w:ind w:left="4254" w:hanging="283"/>
      </w:pPr>
      <w:rPr>
        <w:rFonts w:ascii="Symbol" w:hAnsi="Symbol" w:cs="Symbol" w:hint="default"/>
      </w:rPr>
    </w:lvl>
    <w:lvl w:ilvl="6">
      <w:start w:val="1"/>
      <w:numFmt w:val="bullet"/>
      <w:lvlText w:val=""/>
      <w:lvlJc w:val="left"/>
      <w:pPr>
        <w:tabs>
          <w:tab w:val="num" w:pos="4963"/>
        </w:tabs>
        <w:ind w:left="4963" w:hanging="283"/>
      </w:pPr>
      <w:rPr>
        <w:rFonts w:ascii="Symbol" w:hAnsi="Symbol" w:cs="Symbol" w:hint="default"/>
      </w:rPr>
    </w:lvl>
    <w:lvl w:ilvl="7">
      <w:start w:val="1"/>
      <w:numFmt w:val="bullet"/>
      <w:lvlText w:val=""/>
      <w:lvlJc w:val="left"/>
      <w:pPr>
        <w:tabs>
          <w:tab w:val="num" w:pos="5672"/>
        </w:tabs>
        <w:ind w:left="5672" w:hanging="283"/>
      </w:pPr>
      <w:rPr>
        <w:rFonts w:ascii="Symbol" w:hAnsi="Symbol" w:cs="Symbol" w:hint="default"/>
      </w:rPr>
    </w:lvl>
    <w:lvl w:ilvl="8">
      <w:start w:val="1"/>
      <w:numFmt w:val="bullet"/>
      <w:lvlText w:val=""/>
      <w:lvlJc w:val="left"/>
      <w:pPr>
        <w:tabs>
          <w:tab w:val="num" w:pos="6381"/>
        </w:tabs>
        <w:ind w:left="6381" w:hanging="283"/>
      </w:pPr>
      <w:rPr>
        <w:rFonts w:ascii="Symbol" w:hAnsi="Symbol" w:cs="Symbol" w:hint="default"/>
      </w:rPr>
    </w:lvl>
  </w:abstractNum>
  <w:abstractNum w:abstractNumId="4">
    <w:lvl w:ilvl="0">
      <w:start w:val="1"/>
      <w:numFmt w:val="bullet"/>
      <w:lvlText w:val=""/>
      <w:lvlJc w:val="left"/>
      <w:pPr>
        <w:tabs>
          <w:tab w:val="num" w:pos="709"/>
        </w:tabs>
        <w:ind w:left="709" w:hanging="283"/>
      </w:pPr>
      <w:rPr>
        <w:rFonts w:ascii="Symbol" w:hAnsi="Symbol" w:cs="Symbol" w:hint="default"/>
      </w:rPr>
    </w:lvl>
    <w:lvl w:ilvl="1">
      <w:start w:val="1"/>
      <w:numFmt w:val="bullet"/>
      <w:lvlText w:val=""/>
      <w:lvlJc w:val="left"/>
      <w:pPr>
        <w:tabs>
          <w:tab w:val="num" w:pos="1418"/>
        </w:tabs>
        <w:ind w:left="1418" w:hanging="283"/>
      </w:pPr>
      <w:rPr>
        <w:rFonts w:ascii="Symbol" w:hAnsi="Symbol" w:cs="Symbol" w:hint="default"/>
      </w:rPr>
    </w:lvl>
    <w:lvl w:ilvl="2">
      <w:start w:val="1"/>
      <w:numFmt w:val="bullet"/>
      <w:lvlText w:val=""/>
      <w:lvlJc w:val="left"/>
      <w:pPr>
        <w:tabs>
          <w:tab w:val="num" w:pos="2127"/>
        </w:tabs>
        <w:ind w:left="2127" w:hanging="283"/>
      </w:pPr>
      <w:rPr>
        <w:rFonts w:ascii="Symbol" w:hAnsi="Symbol" w:cs="Symbol" w:hint="default"/>
      </w:rPr>
    </w:lvl>
    <w:lvl w:ilvl="3">
      <w:start w:val="1"/>
      <w:numFmt w:val="bullet"/>
      <w:lvlText w:val=""/>
      <w:lvlJc w:val="left"/>
      <w:pPr>
        <w:tabs>
          <w:tab w:val="num" w:pos="2836"/>
        </w:tabs>
        <w:ind w:left="2836" w:hanging="283"/>
      </w:pPr>
      <w:rPr>
        <w:rFonts w:ascii="Symbol" w:hAnsi="Symbol" w:cs="Symbol" w:hint="default"/>
      </w:rPr>
    </w:lvl>
    <w:lvl w:ilvl="4">
      <w:start w:val="1"/>
      <w:numFmt w:val="bullet"/>
      <w:lvlText w:val=""/>
      <w:lvlJc w:val="left"/>
      <w:pPr>
        <w:tabs>
          <w:tab w:val="num" w:pos="3545"/>
        </w:tabs>
        <w:ind w:left="3545" w:hanging="283"/>
      </w:pPr>
      <w:rPr>
        <w:rFonts w:ascii="Symbol" w:hAnsi="Symbol" w:cs="Symbol" w:hint="default"/>
      </w:rPr>
    </w:lvl>
    <w:lvl w:ilvl="5">
      <w:start w:val="1"/>
      <w:numFmt w:val="bullet"/>
      <w:lvlText w:val=""/>
      <w:lvlJc w:val="left"/>
      <w:pPr>
        <w:tabs>
          <w:tab w:val="num" w:pos="4254"/>
        </w:tabs>
        <w:ind w:left="4254" w:hanging="283"/>
      </w:pPr>
      <w:rPr>
        <w:rFonts w:ascii="Symbol" w:hAnsi="Symbol" w:cs="Symbol" w:hint="default"/>
      </w:rPr>
    </w:lvl>
    <w:lvl w:ilvl="6">
      <w:start w:val="1"/>
      <w:numFmt w:val="bullet"/>
      <w:lvlText w:val=""/>
      <w:lvlJc w:val="left"/>
      <w:pPr>
        <w:tabs>
          <w:tab w:val="num" w:pos="4963"/>
        </w:tabs>
        <w:ind w:left="4963" w:hanging="283"/>
      </w:pPr>
      <w:rPr>
        <w:rFonts w:ascii="Symbol" w:hAnsi="Symbol" w:cs="Symbol" w:hint="default"/>
      </w:rPr>
    </w:lvl>
    <w:lvl w:ilvl="7">
      <w:start w:val="1"/>
      <w:numFmt w:val="bullet"/>
      <w:lvlText w:val=""/>
      <w:lvlJc w:val="left"/>
      <w:pPr>
        <w:tabs>
          <w:tab w:val="num" w:pos="5672"/>
        </w:tabs>
        <w:ind w:left="5672" w:hanging="283"/>
      </w:pPr>
      <w:rPr>
        <w:rFonts w:ascii="Symbol" w:hAnsi="Symbol" w:cs="Symbol" w:hint="default"/>
      </w:rPr>
    </w:lvl>
    <w:lvl w:ilvl="8">
      <w:start w:val="1"/>
      <w:numFmt w:val="bullet"/>
      <w:lvlText w:val=""/>
      <w:lvlJc w:val="left"/>
      <w:pPr>
        <w:tabs>
          <w:tab w:val="num" w:pos="6381"/>
        </w:tabs>
        <w:ind w:left="6381" w:hanging="283"/>
      </w:pPr>
      <w:rPr>
        <w:rFonts w:ascii="Symbol" w:hAnsi="Symbol" w:cs="Symbol" w:hint="default"/>
      </w:rPr>
    </w:lvl>
  </w:abstractNum>
  <w:num w:numId="1">
    <w:abstractNumId w:val="1"/>
  </w:num>
  <w:num w:numId="2">
    <w:abstractNumId w:val="2"/>
  </w:num>
  <w:num w:numId="3">
    <w:abstractNumId w:val="3"/>
  </w:num>
  <w:num w:numId="4">
    <w:abstractNumId w:val="4"/>
  </w:num>
</w:numbering>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StrongEmphasis">
    <w:name w:val="Strong Emphasis"/>
    <w:qFormat/>
    <w:rPr>
      <w:b/>
      <w:bCs/>
    </w:rPr>
  </w:style>
  <w:style w:type="character" w:styleId="Bullets">
    <w:name w:val="Bullets"/>
    <w:qFormat/>
    <w:rPr>
      <w:rFonts w:ascii="OpenSymbol" w:hAnsi="OpenSymbol" w:eastAsia="OpenSymbol" w:cs="OpenSymbol"/>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numbering" Target="numbering.xml"/><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1970</Words>
  <Characters>12051</Characters>
  <CharactersWithSpaces>14031</CharactersWithSpaces>
  <Paragraphs>161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