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001-40086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Clarence Thomas Building, P.O. Box 4649, Road Town, Tortola, British Virgin Islands, VG1110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Form 20-F [ X ]</w:t>
      </w:r>
      <w:r>
        <w:rPr>
          <w:sz w:val="20"/>
          <w:szCs w:val="20"/>
          <w:color w:val="auto"/>
        </w:rPr>
        <w:tab/>
      </w:r>
      <w:r>
        <w:rPr>
          <w:rFonts w:ascii="Times New Roman" w:cs="Times New Roman" w:eastAsia="Times New Roman" w:hAnsi="Times New Roman"/>
          <w:sz w:val="17"/>
          <w:szCs w:val="17"/>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Closing of the GaMee Transaction</w:t>
      </w:r>
    </w:p>
    <w:p>
      <w:pPr>
        <w:spacing w:after="0" w:line="22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disclosed in the Company’s Report on Form 6-K furnished to the Securities and Exchange Commission on March 20, 2026 (the “Signing Form 6-K”), Alpha Compute Corp (the “Company”) entered into a sale and purchase agreement (the “SPA”) with Animoca Brands Limited (“Animoca Brands”) to acquire a 60% controlling equity interest in Ga Mee Global Limited (“GaMee Global”), a wholly owned subsidiary of Animoca Brands, and certain digital tokens (the “GaMee Transaction”). On May 27, 2026, the Company completed this transaction. Prior to the closing of the GaMee Transaction (the “Completion”), Animoca Brands conducted a reorganization to transfer 100% of the equity of Gamee Limited, a company incorporated in the United Kingdom (the “UK Company”) to GaMee Global. The UK Company owns the entire equity in Gamee Mobile s.r.o., a company incorporated under the laws of the Czech Republic (the “Czech Company”).</w:t>
      </w:r>
    </w:p>
    <w:p>
      <w:pPr>
        <w:spacing w:after="0" w:line="18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Completion, the Company paid total upfront consideration of $3.5 million (the “Completion Consideration”), comprised of: (i) $1.5 million in cash, and (ii) $2.0 million in equity consideration in the Company, valued at $1.00 per share. The equity portion of the Completion Consideration under subparagraph (ii) was structured as a combination of ordinary shares of the Company (“Ordinary Shares”) and pre-funded warrants exercisable for Ordinary Shares (“Pre-Funded Warrants”). Specifically, Animoca Brands received: (i) 99,800 Ordinary Shares, and (ii) Pre-Funded Warrants exercisable for 1,900,200 Ordinary Shares, representing the balance of the equity portion of the Completion Consideration.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Shareholders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the Company entered into a shareholders agreement with Animoca Brands and GaMee Global on May 27, 2026 (the “Shareholders Agreement”), which governs the ownership and management of GaMee Global. Pursuant to the Shareholders Agreement, GaMee Global appointed three directors, of whom two were nominated by the Company and one was nominated by Animoca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SPA, the Pre-Funded Warrants, the Shareholders Agreement, and the other agreements entered into in connection with the GaMee Transaction were previously disclosed in the Signing Form 6-K, and are qualified in their entirety by reference to the full text of such agreements attached as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GaMee Global for the fiscal years ended December 31, 2025 and 2024, together with the notes thereto and the auditor’s report thereon, is attached hereto as Exhibit 99.1.</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the Czech Company for the fiscal years ended December 31, 2025 and 2024, together with the notes thereto and the auditor’s report thereon, is attached hereto as Exhibit 99.2.</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the Company, giving effect to the GaMee Transaction, as of September 30, 2025 and the unaudited pro forma condensed combined statements of comprehensive loss of the Company for the six months ended September 30, 2025 and for the year ended March 31, 2025, together with the notes thereto, are attached hereto as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May 27, 2026, the Company issued a press release entitled “Alpha Compute Corp Completes Majority Acquisition Of Gaming Company Gamee”. A copy of the press release is attached hereto as 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760" w:type="dxa"/>
            <w:vAlign w:val="bottom"/>
            <w:tcBorders>
              <w:top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Shareholders Agreement, dated May 27, 2026, by and between Alpha Compute Corp, Animoca Brands Limited and Ga Mee Global</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Limited.</w:t>
            </w:r>
          </w:p>
        </w:tc>
        <w:tc>
          <w:tcPr>
            <w:tcW w:w="8880" w:type="dxa"/>
            <w:vAlign w:val="bottom"/>
            <w:tcBorders>
              <w:top w:val="single" w:sz="8" w:color="0000EE"/>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Consent of Morison LC PLT.</w:t>
            </w:r>
          </w:p>
        </w:tc>
        <w:tc>
          <w:tcPr>
            <w:tcW w:w="7660" w:type="dxa"/>
            <w:vAlign w:val="bottom"/>
            <w:gridSpan w:val="7"/>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Consent of TPA Audit s.r.o.</w:t>
            </w:r>
          </w:p>
        </w:tc>
        <w:tc>
          <w:tcPr>
            <w:tcW w:w="7760" w:type="dxa"/>
            <w:vAlign w:val="bottom"/>
            <w:gridSpan w:val="8"/>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Audited Financial Information of Ga Mee Global Limited for the fiscal years ended December 31, 2025 and 2024.</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Audited Financial Information of Gamee Mobile s.r.o. for the fiscal years ended December 31, 2025 and 2024.</w:t>
            </w:r>
          </w:p>
        </w:tc>
        <w:tc>
          <w:tcPr>
            <w:tcW w:w="1540" w:type="dxa"/>
            <w:vAlign w:val="bottom"/>
            <w:gridSpan w:val="3"/>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r:id="rId14">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hyperlink>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Unaudited Pro Forma Condensed Combined Financial Information of Alpha Compute Corp. (incorporated by reference to Exhibit 99.5</w:t>
              </w:r>
            </w:hyperlink>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to the registrant’s Form 6-K filed with the SEC on March 20, 2026).</w:t>
              </w:r>
            </w:hyperlink>
          </w:p>
        </w:tc>
        <w:tc>
          <w:tcPr>
            <w:tcW w:w="4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27, 2026.</w:t>
            </w:r>
          </w:p>
        </w:tc>
        <w:tc>
          <w:tcPr>
            <w:tcW w:w="4860" w:type="dxa"/>
            <w:vAlign w:val="bottom"/>
            <w:gridSpan w:val="5"/>
          </w:tcPr>
          <w:p>
            <w:pPr>
              <w:spacing w:after="0"/>
              <w:rPr>
                <w:sz w:val="17"/>
                <w:szCs w:val="17"/>
                <w:color w:val="auto"/>
              </w:rPr>
            </w:pPr>
          </w:p>
        </w:tc>
      </w:tr>
      <w:tr>
        <w:trPr>
          <w:trHeight w:val="587"/>
        </w:trPr>
        <w:tc>
          <w:tcPr>
            <w:tcW w:w="3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Brittany Kaiser</w:t>
            </w:r>
          </w:p>
        </w:tc>
      </w:tr>
      <w:tr>
        <w:trPr>
          <w:trHeight w:val="191"/>
        </w:trPr>
        <w:tc>
          <w:tcPr>
            <w:tcW w:w="1920" w:type="dxa"/>
            <w:vAlign w:val="bottom"/>
          </w:tcPr>
          <w:p>
            <w:pPr>
              <w:spacing w:after="0"/>
              <w:rPr>
                <w:sz w:val="16"/>
                <w:szCs w:val="16"/>
                <w:color w:val="auto"/>
              </w:rPr>
            </w:pPr>
          </w:p>
        </w:tc>
        <w:tc>
          <w:tcPr>
            <w:tcW w:w="9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Brittany Kaiser</w:t>
            </w:r>
          </w:p>
        </w:tc>
      </w:tr>
      <w:tr>
        <w:trPr>
          <w:trHeight w:val="234"/>
        </w:trPr>
        <w:tc>
          <w:tcPr>
            <w:tcW w:w="192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078"/>
        </w:trPr>
        <w:tc>
          <w:tcPr>
            <w:tcW w:w="1920" w:type="dxa"/>
            <w:vAlign w:val="bottom"/>
          </w:tcPr>
          <w:p>
            <w:pPr>
              <w:spacing w:after="0"/>
              <w:rPr>
                <w:sz w:val="24"/>
                <w:szCs w:val="24"/>
                <w:color w:val="auto"/>
              </w:rPr>
            </w:pPr>
          </w:p>
        </w:tc>
        <w:tc>
          <w:tcPr>
            <w:tcW w:w="9320" w:type="dxa"/>
            <w:vAlign w:val="bottom"/>
          </w:tcPr>
          <w:p>
            <w:pPr>
              <w:spacing w:after="0"/>
              <w:rPr>
                <w:sz w:val="24"/>
                <w:szCs w:val="24"/>
                <w:color w:val="auto"/>
              </w:rPr>
            </w:pPr>
          </w:p>
        </w:tc>
      </w:tr>
      <w:tr>
        <w:trPr>
          <w:trHeight w:val="68"/>
        </w:trPr>
        <w:tc>
          <w:tcPr>
            <w:tcW w:w="1920" w:type="dxa"/>
            <w:vAlign w:val="bottom"/>
            <w:shd w:val="clear" w:color="auto" w:fill="000000"/>
          </w:tcPr>
          <w:p>
            <w:pPr>
              <w:spacing w:after="0"/>
              <w:rPr>
                <w:sz w:val="5"/>
                <w:szCs w:val="5"/>
                <w:color w:val="auto"/>
              </w:rPr>
            </w:pPr>
          </w:p>
        </w:tc>
        <w:tc>
          <w:tcPr>
            <w:tcW w:w="9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SHAREHOLDERS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27, 2026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640" w:right="20" w:hanging="632"/>
        <w:spacing w:after="0" w:line="286" w:lineRule="auto"/>
        <w:tabs>
          <w:tab w:leader="none" w:pos="6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ANIMOCA BRANDS LIMITED</w:t>
      </w:r>
      <w:r>
        <w:rPr>
          <w:rFonts w:ascii="Times New Roman" w:cs="Times New Roman" w:eastAsia="Times New Roman" w:hAnsi="Times New Roman"/>
          <w:sz w:val="18"/>
          <w:szCs w:val="18"/>
          <w:color w:val="auto"/>
        </w:rPr>
        <w:t>, a company incorporated in Hong Kong, with company number 2047605 and whose principal place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 28/F Landmark South, 39 Yip Kan St, Wong Chuk Hang, Hong Kong (“</w:t>
      </w:r>
      <w:r>
        <w:rPr>
          <w:rFonts w:ascii="Times New Roman" w:cs="Times New Roman" w:eastAsia="Times New Roman" w:hAnsi="Times New Roman"/>
          <w:sz w:val="18"/>
          <w:szCs w:val="18"/>
          <w:b w:val="1"/>
          <w:bCs w:val="1"/>
          <w:color w:val="auto"/>
        </w:rPr>
        <w:t>Animoca Brands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40" w:right="20" w:hanging="632"/>
        <w:spacing w:after="0" w:line="286" w:lineRule="auto"/>
        <w:tabs>
          <w:tab w:leader="none" w:pos="6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ALPHA COMPUTE CORP.</w:t>
      </w:r>
      <w:r>
        <w:rPr>
          <w:rFonts w:ascii="Times New Roman" w:cs="Times New Roman" w:eastAsia="Times New Roman" w:hAnsi="Times New Roman"/>
          <w:sz w:val="18"/>
          <w:szCs w:val="18"/>
          <w:color w:val="auto"/>
        </w:rPr>
        <w:t>, a British Virgin Islands Corporation listed on the Nasdaq Stock Market under the ticker ALP and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address is at Clarence Thomas Building, Road Town, Tortola, the British Virgin Islands (“</w:t>
      </w:r>
      <w:r>
        <w:rPr>
          <w:rFonts w:ascii="Times New Roman" w:cs="Times New Roman" w:eastAsia="Times New Roman" w:hAnsi="Times New Roman"/>
          <w:sz w:val="18"/>
          <w:szCs w:val="18"/>
          <w:b w:val="1"/>
          <w:bCs w:val="1"/>
          <w:color w:val="auto"/>
        </w:rPr>
        <w:t>ALP</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b w:val="1"/>
          <w:bCs w:val="1"/>
          <w:color w:val="auto"/>
        </w:rPr>
      </w:pPr>
    </w:p>
    <w:p>
      <w:pPr>
        <w:ind w:left="640" w:hanging="632"/>
        <w:spacing w:after="0" w:line="286" w:lineRule="auto"/>
        <w:tabs>
          <w:tab w:leader="none" w:pos="6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 MEE GLOBAL LIMITED</w:t>
      </w:r>
      <w:r>
        <w:rPr>
          <w:rFonts w:ascii="Times New Roman" w:cs="Times New Roman" w:eastAsia="Times New Roman" w:hAnsi="Times New Roman"/>
          <w:sz w:val="18"/>
          <w:szCs w:val="18"/>
          <w:color w:val="auto"/>
        </w:rPr>
        <w:t>, a company incorporated in Hong Kong, with business registration number 2990256 and whose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 28/F Landmark South, 39 Yip Kan St, Wong Chuk Hang, Hong Kong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Animoca Brands, ALP and the Company are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 provides public market investors with institutional-grade exposure to the TON ecosystem and Telegram's billion user platform while maintaining the governance standards and reporting transparency of a Nasdaq listed company. ALP’s activities span network validation and staking operations, development of Telegram-based applications, and strategic investments in TON-based decentralized finance protocols, gaming platforms, and business applications.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Animoca Brands represents the most vibrant and engaged Web3 community worldwide.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entered into the Sale and Purchase Agreement dated March 19, 2026 governing the acquisition by ALP of a 60% equity interest in the Company and a 51% share of the treasury-held GAMEE and WAT tokens from Animoca Brands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therefore wish to enter into this Agreement and make the respective representations, warranties, covenants and agreements set forth herein on the terms and conditions set forth herein.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promises hereinafter set forth, and other good and valuable consideration, the receipt and sufficiency of which are hereby acknowledged, the Parties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OPERATIVE PROVISIONS</w:t>
      </w:r>
    </w:p>
    <w:p>
      <w:pPr>
        <w:spacing w:after="0" w:line="225"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definitions and rules of interpretation in this Section apply to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with respect to any person, means any other person Controlling, Controlled by or under common Control with such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Animoca Director</w:t>
      </w:r>
      <w:r>
        <w:rPr>
          <w:rFonts w:ascii="Times New Roman" w:cs="Times New Roman" w:eastAsia="Times New Roman" w:hAnsi="Times New Roman"/>
          <w:sz w:val="18"/>
          <w:szCs w:val="18"/>
          <w:color w:val="auto"/>
        </w:rPr>
        <w:t>” has the meaning given to it in Section 2.1(b).</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memorandum and articles of association of the Company, as amended or replaced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ATON Director</w:t>
      </w:r>
      <w:r>
        <w:rPr>
          <w:rFonts w:ascii="Times New Roman" w:cs="Times New Roman" w:eastAsia="Times New Roman" w:hAnsi="Times New Roman"/>
          <w:sz w:val="18"/>
          <w:szCs w:val="18"/>
          <w:color w:val="auto"/>
        </w:rPr>
        <w:t>” has the meaning given to it in Section 2.1(a).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for the time being and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Reserved Matters</w:t>
      </w:r>
      <w:r>
        <w:rPr>
          <w:rFonts w:ascii="Times New Roman" w:cs="Times New Roman" w:eastAsia="Times New Roman" w:hAnsi="Times New Roman"/>
          <w:sz w:val="18"/>
          <w:szCs w:val="18"/>
          <w:color w:val="auto"/>
        </w:rPr>
        <w:t>” means the matters listed in Schedule 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operation of a mobile gaming platform focused on onboarding a mass gaming audience to Web 3 known as “Gamee” or such other business as may be conducted by the Company subject to the provisions of Section 3.6.</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in Hong Kong or New York when banks in Hong Kong and New York are open for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has the meaning given to it in Section 12.1(d).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means a claim under or in connection with this Agreement or any other matters related thereto.</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or data disclosed by one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any other party (the “</w:t>
      </w:r>
      <w:r>
        <w:rPr>
          <w:rFonts w:ascii="Times New Roman" w:cs="Times New Roman" w:eastAsia="Times New Roman" w:hAnsi="Times New Roman"/>
          <w:sz w:val="18"/>
          <w:szCs w:val="18"/>
          <w:b w:val="1"/>
          <w:bCs w:val="1"/>
          <w:color w:val="auto"/>
        </w:rPr>
        <w:t>Receiving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 connection with this Agreement which is disclosed in writing, verbally or by inspection and is identified as "confidential"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by the Disclosing Party, or which the Receiving Party reasonably ought to believe is treated as confidential or proprietary by the Disclosing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Shareholders</w:t>
      </w:r>
      <w:r>
        <w:rPr>
          <w:rFonts w:ascii="Times New Roman" w:cs="Times New Roman" w:eastAsia="Times New Roman" w:hAnsi="Times New Roman"/>
          <w:sz w:val="18"/>
          <w:szCs w:val="18"/>
          <w:color w:val="auto"/>
        </w:rPr>
        <w:t>” means Animoca Brands and ALP.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Adherence</w:t>
      </w:r>
      <w:r>
        <w:rPr>
          <w:rFonts w:ascii="Times New Roman" w:cs="Times New Roman" w:eastAsia="Times New Roman" w:hAnsi="Times New Roman"/>
          <w:sz w:val="18"/>
          <w:szCs w:val="18"/>
          <w:color w:val="auto"/>
        </w:rPr>
        <w:t>” means the form of deed of adherence contained in 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Shareholder</w:t>
      </w:r>
      <w:r>
        <w:rPr>
          <w:rFonts w:ascii="Times New Roman" w:cs="Times New Roman" w:eastAsia="Times New Roman" w:hAnsi="Times New Roman"/>
          <w:sz w:val="18"/>
          <w:szCs w:val="18"/>
          <w:color w:val="auto"/>
        </w:rPr>
        <w:t>” has the meaning given to it in Section 15.1.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has the meaning given to it in Section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 has the meaning given to it in Section 9.2(a).</w:t>
      </w:r>
    </w:p>
    <w:p>
      <w:pPr>
        <w:spacing w:after="0" w:line="3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0"/>
          </w:cols>
          <w:pgMar w:left="96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Notice</w:t>
      </w:r>
      <w:r>
        <w:rPr>
          <w:rFonts w:ascii="Times New Roman" w:cs="Times New Roman" w:eastAsia="Times New Roman" w:hAnsi="Times New Roman"/>
          <w:sz w:val="18"/>
          <w:szCs w:val="18"/>
          <w:color w:val="auto"/>
        </w:rPr>
        <w:t>” has the meaning given to it in Section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Right</w:t>
      </w:r>
      <w:r>
        <w:rPr>
          <w:rFonts w:ascii="Times New Roman" w:cs="Times New Roman" w:eastAsia="Times New Roman" w:hAnsi="Times New Roman"/>
          <w:sz w:val="18"/>
          <w:szCs w:val="18"/>
          <w:color w:val="auto"/>
        </w:rPr>
        <w:t>” has the meaning given to it in Section 9.1.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pledge, encumbrance, charge (fixed or floating), mortgage, third party claim, debenture, option, right of pre-emption, right to acquire, assignment by way of security, trust arrangement for the purpose of providing security or other security interests of any kind securing any obligation of any person or any agreement or arrangement having a similar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given to it in Section 15.1.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 with respect to the Shares, means the net asset value as determined and certified by an independent audit firm appointed by the Company and which is acceptable to the relevant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GAMEE</w:t>
      </w:r>
      <w:r>
        <w:rPr>
          <w:rFonts w:ascii="Times New Roman" w:cs="Times New Roman" w:eastAsia="Times New Roman" w:hAnsi="Times New Roman"/>
          <w:sz w:val="18"/>
          <w:szCs w:val="18"/>
          <w:color w:val="auto"/>
        </w:rPr>
        <w:t>” means the GAMEE token (ticker: GMEE).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from time to time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with respect to any Party, means any of the following events:</w:t>
      </w:r>
    </w:p>
    <w:p>
      <w:pPr>
        <w:spacing w:after="0" w:line="229" w:lineRule="exact"/>
        <w:rPr>
          <w:sz w:val="20"/>
          <w:szCs w:val="20"/>
          <w:color w:val="auto"/>
        </w:rPr>
      </w:pPr>
    </w:p>
    <w:p>
      <w:pPr>
        <w:jc w:val="both"/>
        <w:ind w:left="1180" w:right="20" w:hanging="651"/>
        <w:spacing w:after="0" w:line="261"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resolution has been passed by the shareholders, directors or other governing body; (ii) an application has been made to any court or judicial or administrative body; (iii) an Order has been made by any court or judicial or administrative body; or (iv) a meeting of the creditors has been held or is in prospect, in each case for or in connection with the bankruptcy, winding up, liquidation or reorganisation of the Party;</w:t>
      </w:r>
    </w:p>
    <w:p>
      <w:pPr>
        <w:spacing w:after="0" w:line="179" w:lineRule="exact"/>
        <w:rPr>
          <w:rFonts w:ascii="Times New Roman" w:cs="Times New Roman" w:eastAsia="Times New Roman" w:hAnsi="Times New Roman"/>
          <w:sz w:val="18"/>
          <w:szCs w:val="18"/>
          <w:color w:val="auto"/>
        </w:rPr>
      </w:pPr>
    </w:p>
    <w:p>
      <w:pPr>
        <w:ind w:left="1180" w:hanging="651"/>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unable to pay its debts as and when they fall due; or</w:t>
      </w:r>
    </w:p>
    <w:p>
      <w:pPr>
        <w:spacing w:after="0" w:line="225" w:lineRule="exact"/>
        <w:rPr>
          <w:rFonts w:ascii="Times New Roman" w:cs="Times New Roman" w:eastAsia="Times New Roman" w:hAnsi="Times New Roman"/>
          <w:sz w:val="18"/>
          <w:szCs w:val="18"/>
          <w:color w:val="auto"/>
        </w:rPr>
      </w:pPr>
    </w:p>
    <w:p>
      <w:pPr>
        <w:ind w:left="1180" w:hanging="651"/>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insolvent within the meaning of any applicable Law.</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(c) copyrights and works of authorship, whether or not copyrightable, and all registrations, applications for registration, and renewals of any of the foregoing; (d) internet domain names, and social media account or user names (including “handles”), whether or not trademarks, all associated web addresses, URLs, websites and web pages, and all content and data thereon or relating thereto, whether or not copyrights; (e) mask works, and all registrations, applications for registration, and renewals thereof; (f) industrial designs, and all patents, registrations, applications for registration, and renewals thereof; (g)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and (h) computer programs, operating systems, applications, firmware, and other code, including all source code, object code, application programming interfaces, data files, databases, protocols, specifications, and other documentation thereof.</w:t>
      </w:r>
    </w:p>
    <w:p>
      <w:pPr>
        <w:spacing w:after="0" w:line="29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0"/>
          </w:cols>
          <w:pgMar w:left="960" w:top="792" w:right="339" w:bottom="1440" w:gutter="0" w:footer="0" w:header="0"/>
        </w:sectPr>
      </w:pPr>
    </w:p>
    <w:bookmarkStart w:id="6" w:name="page7"/>
    <w:bookmarkEnd w:id="6"/>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rights of the following types, in any and all jurisdictions worldwide, in each case whether registered or unregistered: (a) rights associated with works of authorship, including exclusive exploitation rights, copyrights, mask works, and moral rights; (b) trademark rights and similar rights; (c) trade secret rights and similar rights; (d) patent and industrial property rights and similar rights; (e) database rights and similar rights; (f) other proprietary rights in Intellectual Property; and (g) rights in or relating to registrations, renewals, extensions, combinations, divisions and reissues of, and applications for, any of the rights referred to in subsections (a) through (f)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has the meaning given to it in Section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has the meaning given to it in Section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IPR</w:t>
      </w:r>
      <w:r>
        <w:rPr>
          <w:rFonts w:ascii="Times New Roman" w:cs="Times New Roman" w:eastAsia="Times New Roman" w:hAnsi="Times New Roman"/>
          <w:sz w:val="18"/>
          <w:szCs w:val="18"/>
          <w:color w:val="auto"/>
        </w:rPr>
        <w:t>” has the meaning given to it in Section 11.3.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local, municipal, foreign, international, multinational, or other constitution, law, rule, standard, requirement, administrative ruling, order, ordinance, principle of common law, legal doctrine, code, regulation, statute, treaty or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has the meaning given to it in Section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Shareholder</w:t>
      </w:r>
      <w:r>
        <w:rPr>
          <w:rFonts w:ascii="Times New Roman" w:cs="Times New Roman" w:eastAsia="Times New Roman" w:hAnsi="Times New Roman"/>
          <w:sz w:val="18"/>
          <w:szCs w:val="18"/>
          <w:color w:val="auto"/>
        </w:rPr>
        <w:t>” has the meaning given to it in Section 15.2.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award, decision, injunction, judgment, decree, settlement, order, process, ruling, subpoena or verdict (whether temporary, preliminary or permanent) entered, issued, made or rendered by any court, administrative agency, arbitrator, government authority or other tribunal of competent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Purposes</w:t>
      </w:r>
      <w:r>
        <w:rPr>
          <w:rFonts w:ascii="Times New Roman" w:cs="Times New Roman" w:eastAsia="Times New Roman" w:hAnsi="Times New Roman"/>
          <w:sz w:val="18"/>
          <w:szCs w:val="18"/>
          <w:color w:val="auto"/>
        </w:rPr>
        <w:t>” has the meaning given to it in Section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Pre-Emptive Completion Period</w:t>
      </w:r>
      <w:r>
        <w:rPr>
          <w:rFonts w:ascii="Times New Roman" w:cs="Times New Roman" w:eastAsia="Times New Roman" w:hAnsi="Times New Roman"/>
          <w:sz w:val="18"/>
          <w:szCs w:val="18"/>
          <w:color w:val="auto"/>
        </w:rPr>
        <w:t>” has the meaning given to it in Section 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Pre-Emptive Exercise Notice</w:t>
      </w:r>
      <w:r>
        <w:rPr>
          <w:rFonts w:ascii="Times New Roman" w:cs="Times New Roman" w:eastAsia="Times New Roman" w:hAnsi="Times New Roman"/>
          <w:sz w:val="18"/>
          <w:szCs w:val="18"/>
          <w:color w:val="auto"/>
        </w:rPr>
        <w:t>” has the meaning given to it in Section 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Pre-Emptive Exercise Period</w:t>
      </w:r>
      <w:r>
        <w:rPr>
          <w:rFonts w:ascii="Times New Roman" w:cs="Times New Roman" w:eastAsia="Times New Roman" w:hAnsi="Times New Roman"/>
          <w:sz w:val="18"/>
          <w:szCs w:val="18"/>
          <w:color w:val="auto"/>
        </w:rPr>
        <w:t>” has the meaning given to it in Section 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Purchaser</w:t>
      </w:r>
      <w:r>
        <w:rPr>
          <w:rFonts w:ascii="Times New Roman" w:cs="Times New Roman" w:eastAsia="Times New Roman" w:hAnsi="Times New Roman"/>
          <w:sz w:val="18"/>
          <w:szCs w:val="18"/>
          <w:color w:val="auto"/>
        </w:rPr>
        <w:t>” has the meaning given to it in Section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Shares</w:t>
      </w:r>
      <w:r>
        <w:rPr>
          <w:rFonts w:ascii="Times New Roman" w:cs="Times New Roman" w:eastAsia="Times New Roman" w:hAnsi="Times New Roman"/>
          <w:sz w:val="18"/>
          <w:szCs w:val="18"/>
          <w:color w:val="auto"/>
        </w:rPr>
        <w:t>” has the meaning given to it in Section 9.1.</w:t>
      </w:r>
    </w:p>
    <w:p>
      <w:pPr>
        <w:spacing w:after="0" w:line="3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0"/>
          </w:cols>
          <w:pgMar w:left="96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has the meaning given to it in Section 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has the meaning given to it in the Recitals.</w:t>
      </w:r>
    </w:p>
    <w:p>
      <w:pPr>
        <w:spacing w:after="0" w:line="22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Proportion</w:t>
      </w:r>
      <w:r>
        <w:rPr>
          <w:rFonts w:ascii="Times New Roman" w:cs="Times New Roman" w:eastAsia="Times New Roman" w:hAnsi="Times New Roman"/>
          <w:sz w:val="18"/>
          <w:szCs w:val="18"/>
          <w:color w:val="auto"/>
        </w:rPr>
        <w:t>” means, with respect to a Shareholder, as of any given time, the ratio of: (i) the total number of issued Shares owned or held by such Shareholder on a fully diluted basis as of such time, to (ii) the total number of issued Shares in the capital of the Company on a fully diluted basis as of such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Shares</w:t>
      </w:r>
      <w:r>
        <w:rPr>
          <w:rFonts w:ascii="Times New Roman" w:cs="Times New Roman" w:eastAsia="Times New Roman" w:hAnsi="Times New Roman"/>
          <w:sz w:val="18"/>
          <w:szCs w:val="18"/>
          <w:color w:val="auto"/>
        </w:rPr>
        <w:t>” has the meaning given to it in Section 10.1.</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and all directors, officers, employees, consultants, and professional advisors of such person and its Affiliates.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has the meaning given to it in Section 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Acceptance Notice</w:t>
      </w:r>
      <w:r>
        <w:rPr>
          <w:rFonts w:ascii="Times New Roman" w:cs="Times New Roman" w:eastAsia="Times New Roman" w:hAnsi="Times New Roman"/>
          <w:sz w:val="18"/>
          <w:szCs w:val="18"/>
          <w:color w:val="auto"/>
        </w:rPr>
        <w:t>” has the meaning given to it in Section 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Period</w:t>
      </w:r>
      <w:r>
        <w:rPr>
          <w:rFonts w:ascii="Times New Roman" w:cs="Times New Roman" w:eastAsia="Times New Roman" w:hAnsi="Times New Roman"/>
          <w:sz w:val="18"/>
          <w:szCs w:val="18"/>
          <w:color w:val="auto"/>
        </w:rPr>
        <w:t>” has the meaning given to it in Section 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Notice</w:t>
      </w:r>
      <w:r>
        <w:rPr>
          <w:rFonts w:ascii="Times New Roman" w:cs="Times New Roman" w:eastAsia="Times New Roman" w:hAnsi="Times New Roman"/>
          <w:sz w:val="18"/>
          <w:szCs w:val="18"/>
          <w:color w:val="auto"/>
        </w:rPr>
        <w:t>” has the meaning given to it in Section 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Price</w:t>
      </w:r>
      <w:r>
        <w:rPr>
          <w:rFonts w:ascii="Times New Roman" w:cs="Times New Roman" w:eastAsia="Times New Roman" w:hAnsi="Times New Roman"/>
          <w:sz w:val="18"/>
          <w:szCs w:val="18"/>
          <w:color w:val="auto"/>
        </w:rPr>
        <w:t>” has the meaning given to it in Section 7.1(b).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Shares</w:t>
      </w:r>
      <w:r>
        <w:rPr>
          <w:rFonts w:ascii="Times New Roman" w:cs="Times New Roman" w:eastAsia="Times New Roman" w:hAnsi="Times New Roman"/>
          <w:sz w:val="18"/>
          <w:szCs w:val="18"/>
          <w:color w:val="auto"/>
        </w:rPr>
        <w:t>” has the meaning given to it in Section 7.1(a).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has the meaning given to it in Section 7.1.</w:t>
      </w:r>
    </w:p>
    <w:p>
      <w:pPr>
        <w:spacing w:after="0" w:line="22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any person registered in the register of members of the Company as the holder of a Share for the time being, which, as at the date of this Agreement, means the Current Shareholders;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Reserved Matters</w:t>
      </w:r>
      <w:r>
        <w:rPr>
          <w:rFonts w:ascii="Times New Roman" w:cs="Times New Roman" w:eastAsia="Times New Roman" w:hAnsi="Times New Roman"/>
          <w:sz w:val="18"/>
          <w:szCs w:val="18"/>
          <w:color w:val="auto"/>
        </w:rPr>
        <w:t>” means the matters listed in Schedule 3;</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means (i) any shares of capital stock, membership interests, units, profits interests, ownership interests, equity interests, registered capital and other equity securities of such entity; (ii) any right, warrant, option, call, commitment, conversion privilege, pre-emptive right, equity-linked securities, indebtedness, or other right to acquire from such entity, or require such entity to issue, any of the items listed in (i), or security convertible into, exchangeable or exercisable for any of the items listed in (i) (including any convertible note or other convertible instrument); and</w:t>
      </w:r>
    </w:p>
    <w:p>
      <w:pPr>
        <w:spacing w:after="0" w:line="3" w:lineRule="exact"/>
        <w:rPr>
          <w:sz w:val="20"/>
          <w:szCs w:val="20"/>
          <w:color w:val="auto"/>
        </w:rPr>
      </w:pPr>
    </w:p>
    <w:p>
      <w:pPr>
        <w:jc w:val="both"/>
        <w:ind w:left="20" w:hanging="4"/>
        <w:spacing w:after="0" w:line="255" w:lineRule="auto"/>
        <w:tabs>
          <w:tab w:leader="none" w:pos="3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agreement providing for the acquisition of any of the items listed in (i) or (ii). As at the Effective Date, the only Shares issued by the Company are ordinary shares in the capital of the Company with the rights, entitlements and privileges as set out under the Articles, which shall include shares of any class or classes resulting from any subdivision, consolidation or re-classification of those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Tag-Along Shareholder</w:t>
      </w:r>
      <w:r>
        <w:rPr>
          <w:rFonts w:ascii="Times New Roman" w:cs="Times New Roman" w:eastAsia="Times New Roman" w:hAnsi="Times New Roman"/>
          <w:sz w:val="18"/>
          <w:szCs w:val="18"/>
          <w:color w:val="auto"/>
        </w:rPr>
        <w:t>” has the meaning given to it in Section 8.1.</w:t>
      </w:r>
    </w:p>
    <w:p>
      <w:pPr>
        <w:spacing w:after="0" w:line="3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0"/>
          </w:cols>
          <w:pgMar w:left="960" w:top="792"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Purchaser</w:t>
      </w:r>
      <w:r>
        <w:rPr>
          <w:rFonts w:ascii="Times New Roman" w:cs="Times New Roman" w:eastAsia="Times New Roman" w:hAnsi="Times New Roman"/>
          <w:sz w:val="18"/>
          <w:szCs w:val="18"/>
          <w:color w:val="auto"/>
        </w:rPr>
        <w:t>” has the meaning given to it in Section 7.1.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TON</w:t>
      </w:r>
      <w:r>
        <w:rPr>
          <w:rFonts w:ascii="Times New Roman" w:cs="Times New Roman" w:eastAsia="Times New Roman" w:hAnsi="Times New Roman"/>
          <w:sz w:val="18"/>
          <w:szCs w:val="18"/>
          <w:color w:val="auto"/>
        </w:rPr>
        <w:t>” means Toncoin (ticker: TON).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has the meaning given to it in the Recitals.</w:t>
      </w:r>
    </w:p>
    <w:p>
      <w:pPr>
        <w:spacing w:after="0" w:line="225"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in the context of a Transfer of Shares means, directly or indirectly, sell, assign, transfer, convey or otherwise dispose of a legal or beneficial interest in Shares or the creation of any trust or Encumbrance over Shares, and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has the meaning given to it in Section 10.1.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has the meaning given to it in Section 10.1.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WAT</w:t>
      </w:r>
      <w:r>
        <w:rPr>
          <w:rFonts w:ascii="Times New Roman" w:cs="Times New Roman" w:eastAsia="Times New Roman" w:hAnsi="Times New Roman"/>
          <w:sz w:val="18"/>
          <w:szCs w:val="18"/>
          <w:color w:val="auto"/>
        </w:rPr>
        <w:t>” means the WAT token (ticker: WAT).</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to Sections and Schedules are to the Sections of and Schedules to this Agreement and references to paragraphs are to paragraphs of the relevant Schedule. The Schedules form part of this Agreement and shall have effect as if set out in full in the body of this Agreement. Any reference to this Agreement includes the Schedules.</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Agreement shall be binding on and ensure to the benefit of the Parties and their respective successors and permitted assigns, and references to a Party shall include that Party's successors and permitted assigns.</w:t>
      </w:r>
    </w:p>
    <w:p>
      <w:pPr>
        <w:spacing w:after="0" w:line="16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 reference to a company shall include any company, corporation or other body corporate, wherever and however incorporated or established. A reference to a person shall include a natural person, corporate or unincorporated body (whether or not having separate legal personality).</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Unless expressly provided otherwise in this Agreement, a reference to writing or written includes email.</w:t>
      </w:r>
    </w:p>
    <w:p>
      <w:pPr>
        <w:spacing w:after="0" w:line="221"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Any words following the terms including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 in particular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example or any similar expression shall be construed as illustrative and shall not limit the sense of the words, description, definition, phrase or term preceding those terms.</w:t>
      </w:r>
    </w:p>
    <w:p>
      <w:pPr>
        <w:spacing w:after="0" w:line="159"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References to a document in agreed form are to that document in the form agreed by the Parties and initialled by them or on their behalf for identification.</w:t>
      </w:r>
    </w:p>
    <w:p>
      <w:pPr>
        <w:spacing w:after="0" w:line="162" w:lineRule="exact"/>
        <w:rPr>
          <w:sz w:val="20"/>
          <w:szCs w:val="20"/>
          <w:color w:val="auto"/>
        </w:rPr>
      </w:pPr>
    </w:p>
    <w:p>
      <w:pPr>
        <w:jc w:val="both"/>
        <w:ind w:left="640" w:right="2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Unless otherwise provided, a reference to a statute, statutory provision or subordinate legislation is a reference to it as it is in force as at the date of this Agreement. A reference to a statute or statutory provision shall include all subordinate legislation made as at the date of this Agreement under that statute or statutory provision.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640" w:hanging="632"/>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Composition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Board shall be responsible for the management of the Company and shall consist of three (3) members (each, a “</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amongst which:</w:t>
      </w:r>
    </w:p>
    <w:p>
      <w:pPr>
        <w:spacing w:after="0" w:line="225" w:lineRule="exact"/>
        <w:rPr>
          <w:sz w:val="20"/>
          <w:szCs w:val="20"/>
          <w:color w:val="auto"/>
        </w:rPr>
      </w:pPr>
    </w:p>
    <w:p>
      <w:pPr>
        <w:ind w:left="1820" w:right="20" w:hanging="651"/>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 shall have the right to nominate two (2) Directors to the Board (the “</w:t>
      </w:r>
      <w:r>
        <w:rPr>
          <w:rFonts w:ascii="Times New Roman" w:cs="Times New Roman" w:eastAsia="Times New Roman" w:hAnsi="Times New Roman"/>
          <w:sz w:val="18"/>
          <w:szCs w:val="18"/>
          <w:b w:val="1"/>
          <w:bCs w:val="1"/>
          <w:color w:val="auto"/>
        </w:rPr>
        <w:t>ATON Directors</w:t>
      </w:r>
      <w:r>
        <w:rPr>
          <w:rFonts w:ascii="Times New Roman" w:cs="Times New Roman" w:eastAsia="Times New Roman" w:hAnsi="Times New Roman"/>
          <w:sz w:val="18"/>
          <w:szCs w:val="18"/>
          <w:color w:val="auto"/>
        </w:rPr>
        <w:t>”) for so long as it holds at least fifty per cent (50%) of the total share capital of the Company; and</w:t>
      </w:r>
    </w:p>
    <w:p>
      <w:pPr>
        <w:spacing w:after="0" w:line="154" w:lineRule="exact"/>
        <w:rPr>
          <w:rFonts w:ascii="Times New Roman" w:cs="Times New Roman" w:eastAsia="Times New Roman" w:hAnsi="Times New Roman"/>
          <w:sz w:val="18"/>
          <w:szCs w:val="18"/>
          <w:color w:val="auto"/>
        </w:rPr>
      </w:pPr>
    </w:p>
    <w:p>
      <w:pPr>
        <w:ind w:left="1820" w:hanging="651"/>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Animoca Brands shall have the right to nominate one (1) Director to the Board (the “</w:t>
      </w:r>
      <w:r>
        <w:rPr>
          <w:rFonts w:ascii="Times New Roman" w:cs="Times New Roman" w:eastAsia="Times New Roman" w:hAnsi="Times New Roman"/>
          <w:sz w:val="18"/>
          <w:szCs w:val="18"/>
          <w:b w:val="1"/>
          <w:bCs w:val="1"/>
          <w:color w:val="auto"/>
        </w:rPr>
        <w:t>Animoca Directors</w:t>
      </w:r>
      <w:r>
        <w:rPr>
          <w:rFonts w:ascii="Times New Roman" w:cs="Times New Roman" w:eastAsia="Times New Roman" w:hAnsi="Times New Roman"/>
          <w:sz w:val="18"/>
          <w:szCs w:val="18"/>
          <w:color w:val="auto"/>
        </w:rPr>
        <w:t>”) for so long as it holds at least thirty per cent (30%) of the total share capital of the Company.</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Chairman of the Board shall be appointed by a majority of Directors. The Chairman shall not have any casting vote at any Board meeting.</w:t>
      </w:r>
    </w:p>
    <w:p>
      <w:pPr>
        <w:spacing w:after="0" w:line="225" w:lineRule="exact"/>
        <w:rPr>
          <w:sz w:val="20"/>
          <w:szCs w:val="20"/>
          <w:color w:val="auto"/>
        </w:rPr>
      </w:pPr>
    </w:p>
    <w:p>
      <w:pPr>
        <w:jc w:val="both"/>
        <w:ind w:left="640" w:right="2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 Shareholder may remove a Director appointed by it and appoint a new Director as successor by notice in writing to the Company and the other Shareholder(s). Each of the Shareholders agrees to vote, or cause to be voted, all Shares owned by such Shareholder, or over which such Shareholder has voting Control, from time to time and at all times, in whatever manner as shall be necessary to ensure the nomination, replacement and dismissal of a Director as instructed by the other Shareholder that is entitled to make such nomination, replacement and dismissal in accordance with Section 2.1.</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No Director may be appointed or removed otherwise than pursuant to this Section 2 or in accordance with Applicable Laws.</w:t>
      </w:r>
    </w:p>
    <w:p>
      <w:pPr>
        <w:spacing w:after="0" w:line="225"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Subject to Applicable Laws and applicable fiduciary duties, the Shareholders shall procure that the Directors appointed by them shall duly perform their duties at the Board and exercise their voting rights in accordance with, and so as to give effect to, the terms of this Agreement.</w:t>
      </w:r>
    </w:p>
    <w:p>
      <w:pPr>
        <w:spacing w:after="0" w:line="158"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Board meetings and Board Reserved Matters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quorum for a meeting of the Board shall be a simple majority of the total number of Directors, including at least one (1) Animoca Director. In the event that a meeting of the Board duly convened cannot be held for lack of quorum, the meeting shall be adjourned to the same time and day of the following week and at the same place and at least five (5) Business Days' notice shall be given to the Board in relation to such adjourned meeting. The quorum at an adjourned meeting of the Board shall be any two (2) Directors, including at least one (1) Animoca Director.</w:t>
      </w:r>
    </w:p>
    <w:p>
      <w:pPr>
        <w:spacing w:after="0" w:line="180" w:lineRule="exact"/>
        <w:rPr>
          <w:sz w:val="20"/>
          <w:szCs w:val="20"/>
          <w:color w:val="auto"/>
        </w:rPr>
      </w:pPr>
    </w:p>
    <w:p>
      <w:pPr>
        <w:jc w:val="both"/>
        <w:ind w:left="640" w:right="2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Any Director shall be entitled to convene a meeting of the Board. Meetings of the Board shall be held at such times and at such place as the Board may from time to time determine, and in any event held at least once every three (3) months. No Board meeting shall normally be convened on less than five (5) Business Days’ notice, unless all of the Directors agree to a shorter notice period.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ind w:left="640" w:right="2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Each notice of a Board meeting shall specify the time, date and place of the proposed Board meeting and shall include a reasonably detailed agenda, accompanied by any relevant documents, and be sent by courier or email. Where a Board Reserved Matter will be tabled to the Board at a meeting of the Board, the notice shall also include all such information and documents as may be necessary for the Directors to form an informed view on the Board Reserved Matter.</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Directors may participate in a meeting of the Board or of any committee thereof by means of telephone conference, video conference or similar communications by means of which all persons participating in the meeting can hear each other. A Director participating in a meeting pursuant to this provision shall be deemed to be present in person at such meeting and shall constitute quorum for the purpose of Section 3.1.</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Unless otherwise required by Applicable Laws and subject to Section 3.6 the Board shall adopt resolutions by way of either:</w:t>
      </w:r>
    </w:p>
    <w:p>
      <w:pPr>
        <w:spacing w:after="0" w:line="225" w:lineRule="exact"/>
        <w:rPr>
          <w:sz w:val="20"/>
          <w:szCs w:val="20"/>
          <w:color w:val="auto"/>
        </w:rPr>
      </w:pPr>
    </w:p>
    <w:p>
      <w:pPr>
        <w:ind w:left="1820" w:right="20" w:hanging="651"/>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by a simple majority of the number of Directors (voting in person or through attendance and voting by proxy as authorised in writing by the relevant Director) attending a duly convened and constituted meeting of the Board; or</w:t>
      </w:r>
    </w:p>
    <w:p>
      <w:pPr>
        <w:spacing w:after="0" w:line="161"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Directors.</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Notwithstanding anything to the contrary herein, the approval of at least one (1) Animoca Director is required to pass any Board Resolution in respect of any Board Reserved Matter.</w:t>
      </w:r>
    </w:p>
    <w:p>
      <w:pPr>
        <w:spacing w:after="0" w:line="162"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Company shall reimburse the Directors with reasonable costs and out-of-pocket expenses incurred by them in respect of attending meetings of the Company or carrying out authorised business on behalf of the Company.</w:t>
      </w:r>
    </w:p>
    <w:p>
      <w:pPr>
        <w:spacing w:after="0" w:line="158"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Shareholders’ meetings and Shareholder Reserved Matters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quorum for a Shareholders’ meeting of the Company shall be two (2) Shareholders, including ALP and Animoca Brands. In the event that a meeting of Shareholders duly convened cannot be held for lack of quorum, the meeting shall be adjourned to the same time and day of the following week and at the same place and at least five (5) Business Days’ written notice shall be given to the Shareholders in relation to such adjourned meeting.</w:t>
      </w:r>
    </w:p>
    <w:p>
      <w:pPr>
        <w:spacing w:after="0" w:line="180" w:lineRule="exact"/>
        <w:rPr>
          <w:sz w:val="20"/>
          <w:szCs w:val="20"/>
          <w:color w:val="auto"/>
        </w:rPr>
      </w:pPr>
    </w:p>
    <w:p>
      <w:pPr>
        <w:jc w:val="both"/>
        <w:ind w:left="640" w:right="2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Meetings of the Shareholders shall be held at least once per fiscal year and whenever necessary. Any Shareholder is entitled to convene a meeting of the Shareholders, and notice of such meeting shall be provided to all Shareholders no later than five (5) Business Days prior to the date of such meeting unless otherwise agreed by all Shareholders.</w:t>
      </w:r>
    </w:p>
    <w:p>
      <w:pPr>
        <w:spacing w:after="0" w:line="176"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Each notice of a Shareholders’ meeting shall specify the time, date and place of the proposed Shareholders’ meeting and shall include a reasonably detailed agenda, accompanied by any relevant documents, and be sent by courier or email. Where a Shareholder Reserved Matter will be tabled to Shareholders at a Shareholders’ meeting, the notice shall also include all such information and documents as may be necessary for the Shareholders to form an informed view on the Shareholder Reserved Matter.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Save as provided under Section 4.5 or as otherwise required under Applicable Laws, a decision of the Shareholders shall mean either:</w:t>
      </w:r>
    </w:p>
    <w:p>
      <w:pPr>
        <w:spacing w:after="0" w:line="225" w:lineRule="exact"/>
        <w:rPr>
          <w:sz w:val="20"/>
          <w:szCs w:val="20"/>
          <w:color w:val="auto"/>
        </w:rPr>
      </w:pPr>
    </w:p>
    <w:p>
      <w:pPr>
        <w:ind w:left="1820" w:hanging="651"/>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by the affirmative vote of holders of more than fifty percent (50%) of the Shares entitled to vote thereon (voting in person or by proxy) at a duly convened and constituted meeting of the Shareholders; or</w:t>
      </w:r>
    </w:p>
    <w:p>
      <w:pPr>
        <w:spacing w:after="0" w:line="161"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Shareholders.</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Each Shareholder shall procure that no action is taken and no resolution is passed by any Group Company, and that any Group Company shall not take any action, in respect of any of the Shareholder Reserved Matters without the prior written consent or affirmative vote of Animoca Brands.</w:t>
      </w:r>
    </w:p>
    <w:p>
      <w:pPr>
        <w:spacing w:after="0" w:line="158"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Pre-Emptive Rights</w:t>
      </w:r>
    </w:p>
    <w:p>
      <w:pPr>
        <w:spacing w:after="0" w:line="225"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Applicable Laws and Section 4.5, if the Company wishes to issue any new Shares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the Company shall give each Shareholder prior written notice (an "</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of such intention prior to the proposed date of consummation of the proposed issuance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The Issuance Notice shall set forth:</w:t>
      </w:r>
    </w:p>
    <w:p>
      <w:pPr>
        <w:spacing w:after="0" w:line="175" w:lineRule="exact"/>
        <w:rPr>
          <w:sz w:val="20"/>
          <w:szCs w:val="20"/>
          <w:color w:val="auto"/>
        </w:rPr>
      </w:pPr>
    </w:p>
    <w:p>
      <w:pPr>
        <w:ind w:left="1820" w:hanging="651"/>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New Shares proposed to be issued and the material terms and conditions of the proposed issuance;</w:t>
      </w:r>
    </w:p>
    <w:p>
      <w:pPr>
        <w:spacing w:after="0" w:line="225"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 and form of consideration to be paid by any proposed subscriber and the terms and conditions of payment offered by any proposed subscriber (if any);</w:t>
      </w:r>
    </w:p>
    <w:p>
      <w:pPr>
        <w:spacing w:after="0" w:line="161"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New Shares proposed to be issued; and</w:t>
      </w:r>
    </w:p>
    <w:p>
      <w:pPr>
        <w:spacing w:after="0" w:line="22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Date.</w:t>
      </w:r>
    </w:p>
    <w:p>
      <w:pPr>
        <w:spacing w:after="0" w:line="221"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Each Shareholder shall have no less than thirty (30) days after the receipt of the Issuance Notice (the “</w:t>
      </w:r>
      <w:r>
        <w:rPr>
          <w:rFonts w:ascii="Times New Roman" w:cs="Times New Roman" w:eastAsia="Times New Roman" w:hAnsi="Times New Roman"/>
          <w:sz w:val="18"/>
          <w:szCs w:val="18"/>
          <w:b w:val="1"/>
          <w:bCs w:val="1"/>
          <w:color w:val="auto"/>
        </w:rPr>
        <w:t>Pre-emptive Exercise Period</w:t>
      </w:r>
      <w:r>
        <w:rPr>
          <w:rFonts w:ascii="Times New Roman" w:cs="Times New Roman" w:eastAsia="Times New Roman" w:hAnsi="Times New Roman"/>
          <w:sz w:val="18"/>
          <w:szCs w:val="18"/>
          <w:color w:val="auto"/>
        </w:rPr>
        <w:t>”) to elect to subscribe for up to its Relevant Proportion of the New Shares at the price and upon the terms specified in the Issuance Notice by giving written notice (the “</w:t>
      </w:r>
      <w:r>
        <w:rPr>
          <w:rFonts w:ascii="Times New Roman" w:cs="Times New Roman" w:eastAsia="Times New Roman" w:hAnsi="Times New Roman"/>
          <w:sz w:val="18"/>
          <w:szCs w:val="18"/>
          <w:b w:val="1"/>
          <w:bCs w:val="1"/>
          <w:color w:val="auto"/>
        </w:rPr>
        <w:t>Pre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emptive Exercise Notice</w:t>
      </w:r>
      <w:r>
        <w:rPr>
          <w:rFonts w:ascii="Times New Roman" w:cs="Times New Roman" w:eastAsia="Times New Roman" w:hAnsi="Times New Roman"/>
          <w:sz w:val="18"/>
          <w:szCs w:val="18"/>
          <w:color w:val="auto"/>
        </w:rPr>
        <w:t>”) to the Company and stating therein the quantity of New Shares to be subscribed.</w:t>
      </w:r>
    </w:p>
    <w:p>
      <w:pPr>
        <w:spacing w:after="0" w:line="175"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Each Shareholder who has delivered a Pre-emptive Exercise Notice in accordance with Section 5.2 shall pay for and complete the subscription within thirty (30) days after the date of its Pre-emptive Exercise Notice (the “</w:t>
      </w:r>
      <w:r>
        <w:rPr>
          <w:rFonts w:ascii="Times New Roman" w:cs="Times New Roman" w:eastAsia="Times New Roman" w:hAnsi="Times New Roman"/>
          <w:sz w:val="18"/>
          <w:szCs w:val="18"/>
          <w:b w:val="1"/>
          <w:bCs w:val="1"/>
          <w:color w:val="auto"/>
        </w:rPr>
        <w:t>Pre-emptive Completion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If a Shareholder does not deliver a Pre-emptive Exercise Notice within the Pre-emptive Exercise Period or does not subscribe for all of its Relevant Proportion of the New Shares or fails to pay for or complete the subscription within the Pre-emptive Completion Period, the Company shall be free to issue the New Shares which have not been accepted or subscribed by such Shareholder to any third party, provided that the New Shares shall not be issued on more favourable terms than those offered to each Shareholder. The Company shall have sixty (60) days thereafter to complete the issue of the New Shares described in the Issuance Notice with respect to which the pre-emptive rights hereunder were not exercised. In the event that the Company has not issued and sold such New Shares within such sixty (60) day period, then the Company shall not thereafter issue or sell any New Shares without again first offering such New Shares to each Shareholder pursuant to Sections 5.1 to 5.3 (inclusive).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Any issuance of New Shares to a third party in accordance with Section 5.4 shall be conditional upon such third party first entering into a Deed of Adherence.</w:t>
      </w:r>
    </w:p>
    <w:p>
      <w:pPr>
        <w:spacing w:after="0" w:line="158"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Restrictions</w:t>
      </w:r>
    </w:p>
    <w:p>
      <w:pPr>
        <w:spacing w:after="0" w:line="229"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No Shareholder may Transfer any Shares to any person except where required or permitted to do so pursuant to and in compliance with the Articles or this Agreement (including without limitation Section 7).</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No Shareholder may Transfer Shares to any person who is not a party to this Agreement, unless such person has executed a Deed of Adherence confirming to the other Shareholder(s) that it shall be bound by this Agreement as a Shareholder.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Notwithstanding any of the foregoing, a Shareholder may at any time Transfer any of its Shares to its Affiliates, provided that:</w:t>
      </w:r>
    </w:p>
    <w:p>
      <w:pPr>
        <w:spacing w:after="0" w:line="225" w:lineRule="exact"/>
        <w:rPr>
          <w:sz w:val="20"/>
          <w:szCs w:val="20"/>
          <w:color w:val="auto"/>
        </w:rPr>
      </w:pPr>
    </w:p>
    <w:p>
      <w:pPr>
        <w:ind w:left="1820" w:hanging="651"/>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duly executes a Deed of Adherence;</w:t>
      </w:r>
    </w:p>
    <w:p>
      <w:pPr>
        <w:spacing w:after="0" w:line="225"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provides clear evidence and represents to the Company that it is an Affiliate of the Shareholder that intends to have its Shares Transferred to such transferee; and</w:t>
      </w:r>
    </w:p>
    <w:p>
      <w:pPr>
        <w:spacing w:after="0" w:line="161"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undertakes to promptly transfer all its Shares back to the Shareholder that intends to have its Shares Transferred to such transferee after it ceases to become an Affiliate of such Shareholder.</w:t>
      </w:r>
    </w:p>
    <w:p>
      <w:pPr>
        <w:spacing w:after="0" w:line="158"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Without prejudice to the generality of Sections 6.1 or 6.2 and the definition of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no Shareholder shall circumvent or permit to be circumvented, or avoid, or permit to be avoided, the provisions of this Section 6 by Transferring any indirect beneficial interest in the Shares through the disposal of shares in a holding company directly or indirectly holding such Shares (which disposal will result in a change of Control in such holding company) and any such Transfer of an indirect beneficial interest in the Shares shall be treated as a Transfer of Shares.</w:t>
      </w:r>
    </w:p>
    <w:p>
      <w:pPr>
        <w:spacing w:after="0" w:line="176"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left="632" w:hanging="633"/>
        <w:spacing w:after="0" w:line="268" w:lineRule="auto"/>
        <w:tabs>
          <w:tab w:leader="none" w:pos="61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In the event that any Shareholder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proposes to Transfer any Shares to any third party purchaser who is not a Shareholder or an Affiliate of any Shareholder (a “</w:t>
      </w:r>
      <w:r>
        <w:rPr>
          <w:rFonts w:ascii="Times New Roman" w:cs="Times New Roman" w:eastAsia="Times New Roman" w:hAnsi="Times New Roman"/>
          <w:sz w:val="18"/>
          <w:szCs w:val="18"/>
          <w:b w:val="1"/>
          <w:bCs w:val="1"/>
          <w:color w:val="auto"/>
        </w:rPr>
        <w:t>Third Party Purchaser</w:t>
      </w:r>
      <w:r>
        <w:rPr>
          <w:rFonts w:ascii="Times New Roman" w:cs="Times New Roman" w:eastAsia="Times New Roman" w:hAnsi="Times New Roman"/>
          <w:sz w:val="18"/>
          <w:szCs w:val="18"/>
          <w:color w:val="auto"/>
        </w:rPr>
        <w:t>”) pursuant to a bona fide offer, the Selling Shareholder shall promptly send a written notice (a “</w:t>
      </w:r>
      <w:r>
        <w:rPr>
          <w:rFonts w:ascii="Times New Roman" w:cs="Times New Roman" w:eastAsia="Times New Roman" w:hAnsi="Times New Roman"/>
          <w:sz w:val="18"/>
          <w:szCs w:val="18"/>
          <w:b w:val="1"/>
          <w:bCs w:val="1"/>
          <w:color w:val="auto"/>
        </w:rPr>
        <w:t>ROFR Notice</w:t>
      </w:r>
      <w:r>
        <w:rPr>
          <w:rFonts w:ascii="Times New Roman" w:cs="Times New Roman" w:eastAsia="Times New Roman" w:hAnsi="Times New Roman"/>
          <w:sz w:val="18"/>
          <w:szCs w:val="18"/>
          <w:color w:val="auto"/>
        </w:rPr>
        <w:t>”) to the other Shareholders stating:</w:t>
      </w:r>
    </w:p>
    <w:p>
      <w:pPr>
        <w:spacing w:after="0" w:line="171" w:lineRule="exact"/>
        <w:rPr>
          <w:sz w:val="20"/>
          <w:szCs w:val="20"/>
          <w:color w:val="auto"/>
        </w:rPr>
      </w:pPr>
    </w:p>
    <w:p>
      <w:pPr>
        <w:ind w:left="1812" w:hanging="651"/>
        <w:spacing w:after="0"/>
        <w:tabs>
          <w:tab w:leader="none" w:pos="1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proposed to be Transferred (the “</w:t>
      </w:r>
      <w:r>
        <w:rPr>
          <w:rFonts w:ascii="Times New Roman" w:cs="Times New Roman" w:eastAsia="Times New Roman" w:hAnsi="Times New Roman"/>
          <w:sz w:val="18"/>
          <w:szCs w:val="18"/>
          <w:b w:val="1"/>
          <w:bCs w:val="1"/>
          <w:color w:val="auto"/>
        </w:rPr>
        <w:t>ROFR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12" w:hanging="651"/>
        <w:spacing w:after="0"/>
        <w:tabs>
          <w:tab w:leader="none" w:pos="1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purchase price per Share (the “</w:t>
      </w:r>
      <w:r>
        <w:rPr>
          <w:rFonts w:ascii="Times New Roman" w:cs="Times New Roman" w:eastAsia="Times New Roman" w:hAnsi="Times New Roman"/>
          <w:sz w:val="18"/>
          <w:szCs w:val="18"/>
          <w:b w:val="1"/>
          <w:bCs w:val="1"/>
          <w:color w:val="auto"/>
        </w:rPr>
        <w:t>ROFR Price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812" w:hanging="651"/>
        <w:spacing w:after="0"/>
        <w:tabs>
          <w:tab w:leader="none" w:pos="1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such Transfer; and</w:t>
      </w:r>
    </w:p>
    <w:p>
      <w:pPr>
        <w:spacing w:after="0" w:line="225" w:lineRule="exact"/>
        <w:rPr>
          <w:rFonts w:ascii="Times New Roman" w:cs="Times New Roman" w:eastAsia="Times New Roman" w:hAnsi="Times New Roman"/>
          <w:sz w:val="18"/>
          <w:szCs w:val="18"/>
          <w:color w:val="auto"/>
        </w:rPr>
      </w:pPr>
    </w:p>
    <w:p>
      <w:pPr>
        <w:ind w:left="1812" w:hanging="651"/>
        <w:spacing w:after="0"/>
        <w:tabs>
          <w:tab w:leader="none" w:pos="1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other reasonable details of the Third Party Purchaser.</w:t>
      </w:r>
    </w:p>
    <w:p>
      <w:pPr>
        <w:spacing w:after="0" w:line="225" w:lineRule="exact"/>
        <w:rPr>
          <w:sz w:val="20"/>
          <w:szCs w:val="20"/>
          <w:color w:val="auto"/>
        </w:rPr>
      </w:pPr>
    </w:p>
    <w:p>
      <w:pPr>
        <w:jc w:val="both"/>
        <w:ind w:left="632" w:hanging="633"/>
        <w:spacing w:after="0" w:line="261" w:lineRule="auto"/>
        <w:tabs>
          <w:tab w:leader="none" w:pos="61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Such ROFR Notice shall constitute an offer by the Selling Shareholder to the other Shareholder(s) to sell to the other Shareholder(s) the total number of the ROFR Shares. The other Shareholder(s) shall each have the right (but not the obligation) (the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to purchase all (but not less than all) of the ROFR Shares at a purchase price per Share equal to the ROFR Price and upon terms and conditions no less favourable than those specified in the ROFR Notice.</w:t>
      </w:r>
    </w:p>
    <w:p>
      <w:pPr>
        <w:spacing w:after="0" w:line="176" w:lineRule="exact"/>
        <w:rPr>
          <w:sz w:val="20"/>
          <w:szCs w:val="20"/>
          <w:color w:val="auto"/>
        </w:rPr>
      </w:pPr>
    </w:p>
    <w:p>
      <w:pPr>
        <w:jc w:val="both"/>
        <w:ind w:left="632" w:hanging="633"/>
        <w:spacing w:after="0" w:line="256" w:lineRule="auto"/>
        <w:tabs>
          <w:tab w:leader="none" w:pos="612"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Each of the other Shareholder(s) may (but are not obligated to) exercise the Right of First Refusal by giving a written notice (the “</w:t>
      </w:r>
      <w:r>
        <w:rPr>
          <w:rFonts w:ascii="Times New Roman" w:cs="Times New Roman" w:eastAsia="Times New Roman" w:hAnsi="Times New Roman"/>
          <w:sz w:val="18"/>
          <w:szCs w:val="18"/>
          <w:b w:val="1"/>
          <w:bCs w:val="1"/>
          <w:color w:val="auto"/>
        </w:rPr>
        <w:t>ROFR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to the Selling Shareholder within thirty (30) days from the date of receipt of the ROFR Notice (the “</w:t>
      </w:r>
      <w:r>
        <w:rPr>
          <w:rFonts w:ascii="Times New Roman" w:cs="Times New Roman" w:eastAsia="Times New Roman" w:hAnsi="Times New Roman"/>
          <w:sz w:val="18"/>
          <w:szCs w:val="18"/>
          <w:b w:val="1"/>
          <w:bCs w:val="1"/>
          <w:color w:val="auto"/>
        </w:rPr>
        <w:t>ROFR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specifying the number of ROFR Shares that it accepts to purchase. The failure by any Shareholder to give a ROFR Acceptance Notice within the ROFR Period shall be deemed to be a waiver of its Right of First Refusal. Where there is more than one Shareholder who has delivered a ROFR Acceptance Notice, each such Shareholder shall be entitled to purchase its pro rata share of the ROFR Shares, where “pro rata share” means each such Shareholder’s existing holding of Shares as a proportion of the total number of Shares held by all such Shareholders who have delivered a ROFR Acceptance Notice.</w:t>
      </w:r>
    </w:p>
    <w:p>
      <w:pPr>
        <w:spacing w:after="0" w:line="187" w:lineRule="exact"/>
        <w:rPr>
          <w:sz w:val="20"/>
          <w:szCs w:val="20"/>
          <w:color w:val="auto"/>
        </w:rPr>
      </w:pPr>
    </w:p>
    <w:p>
      <w:pPr>
        <w:jc w:val="both"/>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Any sale pursuant to the exercise of the Right of First Refusal shall be consummated within thirty (30) days after the expiry of the ROFR Period (or such other date as may be agreed between the relevant parties to such sale).</w:t>
      </w:r>
    </w:p>
    <w:p>
      <w:pPr>
        <w:spacing w:after="0" w:line="162" w:lineRule="exact"/>
        <w:rPr>
          <w:sz w:val="20"/>
          <w:szCs w:val="20"/>
          <w:color w:val="auto"/>
        </w:rPr>
      </w:pPr>
    </w:p>
    <w:p>
      <w:pPr>
        <w:jc w:val="both"/>
        <w:ind w:left="632" w:hanging="633"/>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no Right of First Refusal is validly exercised within the ROFR Period, then the Selling Shareholder may sell to the Third Party Purchaser named in the ROFR Notice the ROFR Shares at a price per Share no less than the ROFR Price and on terms and conditions that are no more favourable to the Third Party Purchaser than those specified in such ROFR Notice. If such sale is not consummated within two (2) months from the date of expiry of the ROFR Period, the Right of First Refusal shall be deemed to be revived and such ROFR Shares shall not be offered or otherwise made subject to any Transfer until and unless first re-offered to the other Shareholder(s) in accordance with this Section 7.</w:t>
      </w:r>
    </w:p>
    <w:p>
      <w:pPr>
        <w:spacing w:after="0" w:line="179" w:lineRule="exact"/>
        <w:rPr>
          <w:sz w:val="20"/>
          <w:szCs w:val="20"/>
          <w:color w:val="auto"/>
        </w:rPr>
      </w:pPr>
    </w:p>
    <w:p>
      <w:pPr>
        <w:ind w:left="632" w:hanging="632"/>
        <w:spacing w:after="0"/>
        <w:tabs>
          <w:tab w:leader="none" w:pos="63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Tag-Along Right</w:t>
      </w:r>
    </w:p>
    <w:p>
      <w:pPr>
        <w:spacing w:after="0" w:line="225" w:lineRule="exact"/>
        <w:rPr>
          <w:sz w:val="20"/>
          <w:szCs w:val="20"/>
          <w:color w:val="auto"/>
        </w:rPr>
      </w:pPr>
    </w:p>
    <w:p>
      <w:pPr>
        <w:jc w:val="both"/>
        <w:ind w:left="632" w:hanging="633"/>
        <w:spacing w:after="0" w:line="257" w:lineRule="auto"/>
        <w:tabs>
          <w:tab w:leader="none" w:pos="61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For so long as ALP holds more than fifty per cent (50%) of the total Shares of the Company, in the event that ALP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proposes to Transfer Shares representing thirty per cent (30%) or more of all issued Shares of the Company to a Third Party Purchaser (the “</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Animoca Brands (the “</w:t>
      </w:r>
      <w:r>
        <w:rPr>
          <w:rFonts w:ascii="Times New Roman" w:cs="Times New Roman" w:eastAsia="Times New Roman" w:hAnsi="Times New Roman"/>
          <w:sz w:val="18"/>
          <w:szCs w:val="18"/>
          <w:b w:val="1"/>
          <w:bCs w:val="1"/>
          <w:color w:val="auto"/>
        </w:rPr>
        <w:t>Tag-Along Shareholder</w:t>
      </w:r>
      <w:r>
        <w:rPr>
          <w:rFonts w:ascii="Times New Roman" w:cs="Times New Roman" w:eastAsia="Times New Roman" w:hAnsi="Times New Roman"/>
          <w:sz w:val="18"/>
          <w:szCs w:val="18"/>
          <w:color w:val="auto"/>
        </w:rPr>
        <w:t>”) shall have the right, but not the obligation, to participate in the Proposed Transfer in accordance with the provisions hereunder. Such right shall be exercisable by way of the delivery of written notice to the Selling Shareholder, specifying the number of Shares that the Tag-Along Shareholder intends to sell, at the same price per Shares and on the same terms as the Proposed Transfer.</w:t>
      </w: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4" w:name="page15"/>
    <w:bookmarkEnd w:id="14"/>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Selling Shareholder shall use reasonable efforts to procure that the Third Party Purchaser shall purchase not only the Shares that the Selling Shareholder intends to sell, but also the Shares specified by the Tag-Along Shareholder at the same price per Share and on the same terms as the Proposed Transfer. If the Selling Shareholder and the Third Party Purchaser fail to reach an agreement, then the number of the Shares to be purchased by the Third Party Purchaser shall be allocated between the Selling Shareholder and the Tag-Along Shareholder based on the respective proportion of the number of Shares held by each such Shareholder compared to the total number of Shares held by the Selling Shareholder and the Tag-Along Shareholder.</w:t>
      </w:r>
    </w:p>
    <w:p>
      <w:pPr>
        <w:spacing w:after="0" w:line="18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Immediately prior to completion of the sale of Shares by the Selling Shareholder and the Tag-Along Shareholder, the Tag-Along Shareholder shall transfer the legal and beneficial title to its relevant Shares to the Third Party Purchaser free from Encumbrance, in accordance with Applicable Laws and with the benefit of all rights attaching to them as at the date of transfer.</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Where the Third Party Purchaser refuses to purchase Shares from the Tag-Along Shareholder exercising its tag-along right hereunder, the Selling Shareholder shall not Transfer to the Third Party Purchaser any of its Shares.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The provisions of this Section 8 shall apply subject to and after completion of the procedure set out in Section 7.</w:t>
      </w:r>
    </w:p>
    <w:p>
      <w:pPr>
        <w:spacing w:after="0" w:line="221"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Drag-Along Right</w:t>
      </w:r>
    </w:p>
    <w:p>
      <w:pPr>
        <w:spacing w:after="0" w:line="229"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Sections 6 to 8 and only for so long as ALP holds more than fifty per cent (50%) of the total Shares of the Company, if ALP receives an all cash offer from any bona fide third party purchaser who is not an Affiliate of ALP (the “</w:t>
      </w:r>
      <w:r>
        <w:rPr>
          <w:rFonts w:ascii="Times New Roman" w:cs="Times New Roman" w:eastAsia="Times New Roman" w:hAnsi="Times New Roman"/>
          <w:sz w:val="18"/>
          <w:szCs w:val="18"/>
          <w:b w:val="1"/>
          <w:bCs w:val="1"/>
          <w:color w:val="auto"/>
        </w:rPr>
        <w:t>Proposed Purchaser</w:t>
      </w:r>
      <w:r>
        <w:rPr>
          <w:rFonts w:ascii="Times New Roman" w:cs="Times New Roman" w:eastAsia="Times New Roman" w:hAnsi="Times New Roman"/>
          <w:sz w:val="18"/>
          <w:szCs w:val="18"/>
          <w:color w:val="auto"/>
        </w:rPr>
        <w:t>") to acquire all of its Shares and if ALP has decided to sell all (but not some only) of its Shares (the “</w:t>
      </w:r>
      <w:r>
        <w:rPr>
          <w:rFonts w:ascii="Times New Roman" w:cs="Times New Roman" w:eastAsia="Times New Roman" w:hAnsi="Times New Roman"/>
          <w:sz w:val="18"/>
          <w:szCs w:val="18"/>
          <w:b w:val="1"/>
          <w:bCs w:val="1"/>
          <w:color w:val="auto"/>
        </w:rPr>
        <w:t>Proposed Shares</w:t>
      </w:r>
      <w:r>
        <w:rPr>
          <w:rFonts w:ascii="Times New Roman" w:cs="Times New Roman" w:eastAsia="Times New Roman" w:hAnsi="Times New Roman"/>
          <w:sz w:val="18"/>
          <w:szCs w:val="18"/>
          <w:color w:val="auto"/>
        </w:rPr>
        <w:t>”) to the Proposed Purchaser, ALP shall have the right, but not the obligation (the “</w:t>
      </w:r>
      <w:r>
        <w:rPr>
          <w:rFonts w:ascii="Times New Roman" w:cs="Times New Roman" w:eastAsia="Times New Roman" w:hAnsi="Times New Roman"/>
          <w:sz w:val="18"/>
          <w:szCs w:val="18"/>
          <w:b w:val="1"/>
          <w:bCs w:val="1"/>
          <w:color w:val="auto"/>
        </w:rPr>
        <w:t>Drag-Along Right</w:t>
      </w:r>
      <w:r>
        <w:rPr>
          <w:rFonts w:ascii="Times New Roman" w:cs="Times New Roman" w:eastAsia="Times New Roman" w:hAnsi="Times New Roman"/>
          <w:sz w:val="18"/>
          <w:szCs w:val="18"/>
          <w:color w:val="auto"/>
        </w:rPr>
        <w:t>”), by serving notice in writing, to require the other Shareholder(s) to each sell all of their Shares to the Proposed Purchaser at the same price per Share and on terms and conditions no less favourable than those offered by the Proposed Purchaser to ALP (the “</w:t>
      </w:r>
      <w:r>
        <w:rPr>
          <w:rFonts w:ascii="Times New Roman" w:cs="Times New Roman" w:eastAsia="Times New Roman" w:hAnsi="Times New Roman"/>
          <w:sz w:val="18"/>
          <w:szCs w:val="18"/>
          <w:b w:val="1"/>
          <w:bCs w:val="1"/>
          <w:color w:val="auto"/>
        </w:rPr>
        <w:t>Drag-Along Notice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Drag-Along Right shall be exercised as follows:</w:t>
      </w:r>
    </w:p>
    <w:p>
      <w:pPr>
        <w:spacing w:after="0" w:line="225" w:lineRule="exact"/>
        <w:rPr>
          <w:sz w:val="20"/>
          <w:szCs w:val="20"/>
          <w:color w:val="auto"/>
        </w:rPr>
      </w:pPr>
    </w:p>
    <w:p>
      <w:pPr>
        <w:jc w:val="both"/>
        <w:ind w:left="1820" w:hanging="651"/>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Drag-Along Notice shall specify: (i) the number of Shares required to be Transferred by the other Shareholder(s) (such Shares being the “</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 (ii) the price per Share; and (iii) all other material terms and conditions of the sale including the proposed completion date for the Transfer;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left="1820" w:hanging="651"/>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 shall have a period of sixty (60) days from the date of delivery of the Drag-Along Notice to complete the Transfer of the Proposed Shares and the Dragged Shares on terms and conditions not less favourable than those set forth in the Drag-Along Notice; and</w:t>
      </w:r>
    </w:p>
    <w:p>
      <w:pPr>
        <w:spacing w:after="0" w:line="175" w:lineRule="exact"/>
        <w:rPr>
          <w:rFonts w:ascii="Times New Roman" w:cs="Times New Roman" w:eastAsia="Times New Roman" w:hAnsi="Times New Roman"/>
          <w:sz w:val="18"/>
          <w:szCs w:val="18"/>
          <w:color w:val="auto"/>
        </w:rPr>
      </w:pPr>
    </w:p>
    <w:p>
      <w:pPr>
        <w:jc w:val="both"/>
        <w:ind w:left="1820" w:hanging="651"/>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completion of the Transfer of the Dragged Shares, the other Shareholder(s) shall each transfer the legal and beneficial title to their Dragged Shares to the Proposed Purchaser free from Encumbrance in accordance with Applicable Laws and with the benefit of all rights attaching to them as at the date of transfer.</w:t>
      </w:r>
    </w:p>
    <w:p>
      <w:pPr>
        <w:spacing w:after="0" w:line="176"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cash consideration for which the Dragged Shareholder(s) shall be obliged to sell their Dragged Shares pursuant to the provisions hereunder shall be no less than the Fair Value per Share.</w:t>
      </w:r>
    </w:p>
    <w:p>
      <w:pPr>
        <w:spacing w:after="0" w:line="158"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w:t>
      </w:r>
    </w:p>
    <w:p>
      <w:pPr>
        <w:spacing w:after="0" w:line="225"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If any Shareholder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Transfers any Shares (the “</w:t>
      </w:r>
      <w:r>
        <w:rPr>
          <w:rFonts w:ascii="Times New Roman" w:cs="Times New Roman" w:eastAsia="Times New Roman" w:hAnsi="Times New Roman"/>
          <w:sz w:val="18"/>
          <w:szCs w:val="18"/>
          <w:b w:val="1"/>
          <w:bCs w:val="1"/>
          <w:color w:val="auto"/>
        </w:rPr>
        <w:t>Relevant Shares</w:t>
      </w:r>
      <w:r>
        <w:rPr>
          <w:rFonts w:ascii="Times New Roman" w:cs="Times New Roman" w:eastAsia="Times New Roman" w:hAnsi="Times New Roman"/>
          <w:sz w:val="18"/>
          <w:szCs w:val="18"/>
          <w:color w:val="auto"/>
        </w:rPr>
        <w:t>”) to any person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under any provision of this Agreement then at the relevant date of completion of such Transfer, the Transferor and Transferee shall comply with the following provisions.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Transferor shall Transfer the Relevant Shares to the Transferee free from all Encumbrances and shall deliver to the Transferee:</w:t>
      </w:r>
    </w:p>
    <w:p>
      <w:pPr>
        <w:spacing w:after="0" w:line="225" w:lineRule="exact"/>
        <w:rPr>
          <w:sz w:val="20"/>
          <w:szCs w:val="20"/>
          <w:color w:val="auto"/>
        </w:rPr>
      </w:pPr>
    </w:p>
    <w:p>
      <w:pPr>
        <w:ind w:left="1820" w:right="20" w:hanging="651"/>
        <w:spacing w:after="0" w:line="282"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instrument of transfer, stock transfer form and/or share transfer agreement in respect of the Relevant Shares in favour of the Transferee;</w:t>
      </w:r>
    </w:p>
    <w:p>
      <w:pPr>
        <w:spacing w:after="0" w:line="161" w:lineRule="exact"/>
        <w:rPr>
          <w:rFonts w:ascii="Times New Roman" w:cs="Times New Roman" w:eastAsia="Times New Roman" w:hAnsi="Times New Roman"/>
          <w:sz w:val="18"/>
          <w:szCs w:val="18"/>
          <w:color w:val="auto"/>
        </w:rPr>
      </w:pPr>
    </w:p>
    <w:p>
      <w:pPr>
        <w:jc w:val="both"/>
        <w:ind w:left="1820" w:hanging="651"/>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power of attorney executed by the Transferor in favour of the Transferee to enable the Transferee (pending registration of the transfer of the Relevant Shares from the Transferor to the Transferee) to exercise all voting and other rights attaching to the Relevant Shares (if applicable); and</w:t>
      </w:r>
    </w:p>
    <w:p>
      <w:pPr>
        <w:spacing w:after="0" w:line="17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share certificate(s) in respect of the Relevant Shares (if applicable).</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Each of the Transferor and Transferee shall sign all documents and take all other action reasonably necessary to enable the Transferee to become the registered and beneficial owner of the Relevant Shares.</w:t>
      </w:r>
    </w:p>
    <w:p>
      <w:pPr>
        <w:spacing w:after="0" w:line="162"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Transferee shall pay the aggregate purchase price for the Relevant Shares to the Transferor or as the Transferor directs in writing in immediately available funds by electronic transfer for same day value to the bank account nominated in writing by the Transferor.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Transferee shall (if it is not already a party to this Agreement) enter into a Deed of Adherence.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40" w:right="2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Each Party retains ownership of all Intellectual Property Rights owned or developed by it independently of or outside the scope of this Agreement. Each Party may grant the other limited, non-exclusive rights to use its Intellectual Property Rights such as its name and logo solely for approved marketing and advertising campaigns in connection with the Purpose or the other matters set out in this Agreement, subject always to such Party’s brand guidelines and prior written approval (not to be unreasonably withheld or delayed).</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Without the prior written consent of a Shareholder, neither the Company nor any other Shareholder(s) shall acquire any right or interest in the Intellectual Property Rights of such Shareholder, including (without limitation) through any modification, improvement or adaptation of any Intellectual Property of such Shareholder, or the creation of any derivative works based on any Intellectual Property of such Shareholder.</w:t>
      </w:r>
    </w:p>
    <w:p>
      <w:pPr>
        <w:spacing w:after="0" w:line="172"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Any joint ownership of any Intellectual Property Rights arising from any of the activities under this Agreement (</w:t>
      </w:r>
      <w:r>
        <w:rPr>
          <w:rFonts w:ascii="Times New Roman" w:cs="Times New Roman" w:eastAsia="Times New Roman" w:hAnsi="Times New Roman"/>
          <w:sz w:val="18"/>
          <w:szCs w:val="18"/>
          <w:b w:val="1"/>
          <w:bCs w:val="1"/>
          <w:color w:val="auto"/>
        </w:rPr>
        <w:t>“Joint IPR”</w:t>
      </w:r>
      <w:r>
        <w:rPr>
          <w:rFonts w:ascii="Times New Roman" w:cs="Times New Roman" w:eastAsia="Times New Roman" w:hAnsi="Times New Roman"/>
          <w:sz w:val="18"/>
          <w:szCs w:val="18"/>
          <w:color w:val="auto"/>
        </w:rPr>
        <w:t>) and any matters concerning the protection, registration, use, exploitation or licensing of any Joint IPR shall be subject to express written agreement between the relevant Parties.</w:t>
      </w:r>
    </w:p>
    <w:p>
      <w:pPr>
        <w:spacing w:after="0" w:line="171"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Rights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Company shall prepare and deliver to each Shareholder:</w:t>
      </w:r>
    </w:p>
    <w:p>
      <w:pPr>
        <w:spacing w:after="0" w:line="225" w:lineRule="exact"/>
        <w:rPr>
          <w:sz w:val="20"/>
          <w:szCs w:val="20"/>
          <w:color w:val="auto"/>
        </w:rPr>
      </w:pPr>
    </w:p>
    <w:p>
      <w:pPr>
        <w:ind w:left="1820" w:hanging="651"/>
        <w:spacing w:after="0" w:line="282" w:lineRule="auto"/>
        <w:tabs>
          <w:tab w:leader="none" w:pos="1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the end of each calendar month, unaudited consolidated monthly financial statements of the Group Companies;</w:t>
      </w:r>
    </w:p>
    <w:p>
      <w:pPr>
        <w:spacing w:after="0" w:line="161" w:lineRule="exact"/>
        <w:rPr>
          <w:rFonts w:ascii="Times New Roman" w:cs="Times New Roman" w:eastAsia="Times New Roman" w:hAnsi="Times New Roman"/>
          <w:sz w:val="18"/>
          <w:szCs w:val="18"/>
          <w:color w:val="auto"/>
        </w:rPr>
      </w:pPr>
    </w:p>
    <w:p>
      <w:pPr>
        <w:jc w:val="both"/>
        <w:ind w:left="1820" w:hanging="651"/>
        <w:spacing w:after="0" w:line="266" w:lineRule="auto"/>
        <w:tabs>
          <w:tab w:leader="none" w:pos="1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calendar quarter, quarterly unaudited consolidated management accounts, comprising the unaudited consolidated balance sheet and profit and loss statement of the Group Companies made up to the last day of the immediately preceding quarter;</w:t>
      </w:r>
    </w:p>
    <w:p>
      <w:pPr>
        <w:spacing w:after="0" w:line="175" w:lineRule="exact"/>
        <w:rPr>
          <w:rFonts w:ascii="Times New Roman" w:cs="Times New Roman" w:eastAsia="Times New Roman" w:hAnsi="Times New Roman"/>
          <w:sz w:val="18"/>
          <w:szCs w:val="18"/>
          <w:color w:val="auto"/>
        </w:rPr>
      </w:pPr>
    </w:p>
    <w:p>
      <w:pPr>
        <w:ind w:left="1820" w:hanging="651"/>
        <w:spacing w:after="0" w:line="282" w:lineRule="auto"/>
        <w:tabs>
          <w:tab w:leader="none" w:pos="1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each financial year, annual audited consolidated accounts of the Group Companies (audited by an internationally reputable firm of independent certified public accountants);</w:t>
      </w:r>
    </w:p>
    <w:p>
      <w:pPr>
        <w:spacing w:after="0" w:line="161"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before the beginning of each financial year, a proposed annual business plan, budget and trading forecasts of the Group Companies for that financial year (the “</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820" w:hanging="651"/>
        <w:spacing w:after="0" w:line="266" w:lineRule="auto"/>
        <w:tabs>
          <w:tab w:leader="none" w:pos="1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any material adverse event affecting the Company or any Group Company (such as any material litigation or government enquiry) as well as any information reasonably required by any of the Current Shareholders in respect of the Company or any Group Company from time to time.</w:t>
      </w:r>
    </w:p>
    <w:p>
      <w:pPr>
        <w:spacing w:after="0" w:line="176"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Company shall maintain proper books, accounts and records in accordance with generally accepted accounting principles and Applicable Laws or as may be required by its auditors.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After giving reasonable notice and no later than ten (10) Business Days' notice to the Company, any Shareholder may (or cause an agent or representative of such Shareholder to):</w:t>
      </w:r>
    </w:p>
    <w:p>
      <w:pPr>
        <w:spacing w:after="0" w:line="162" w:lineRule="exact"/>
        <w:rPr>
          <w:sz w:val="20"/>
          <w:szCs w:val="20"/>
          <w:color w:val="auto"/>
        </w:rPr>
      </w:pPr>
    </w:p>
    <w:p>
      <w:pPr>
        <w:ind w:left="1820" w:hanging="651"/>
        <w:spacing w:after="0"/>
        <w:tabs>
          <w:tab w:leader="none" w:pos="1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full access to, inspect, and take photocopies of, all the books, accounts, financial and other records of any Group Company;</w:t>
      </w:r>
    </w:p>
    <w:p>
      <w:pPr>
        <w:spacing w:after="0" w:line="225" w:lineRule="exact"/>
        <w:rPr>
          <w:rFonts w:ascii="Times New Roman" w:cs="Times New Roman" w:eastAsia="Times New Roman" w:hAnsi="Times New Roman"/>
          <w:sz w:val="18"/>
          <w:szCs w:val="18"/>
          <w:color w:val="auto"/>
        </w:rPr>
      </w:pPr>
    </w:p>
    <w:p>
      <w:pPr>
        <w:jc w:val="both"/>
        <w:ind w:left="1820" w:hanging="651"/>
        <w:spacing w:after="0" w:line="266" w:lineRule="auto"/>
        <w:tabs>
          <w:tab w:leader="none" w:pos="1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full access to such management and personnel of any Group Company as may be reasonably requested by such Shareholder for the purpose of obtaining or evaluating information regarding the business, operations, financial position and prospects of such Group Company; and</w:t>
      </w:r>
    </w:p>
    <w:p>
      <w:pPr>
        <w:spacing w:after="0" w:line="17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full access to the sites, premises and facilities of any Group Company.</w:t>
      </w:r>
    </w:p>
    <w:p>
      <w:pPr>
        <w:spacing w:after="0" w:line="2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with Articles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the Articles at any time conflicts with any provision of this Agreement, this Agreement shall prevail as among the Shareholders and the Parties shall whenever necessary exercise all voting and other rights and powers available to them to procure the amendment, waiver or suspension of the relevant provision of the Articles to the extent necessary to permit the Company and its affairs to be administered in accordance with the terms of this Agreement.</w:t>
      </w:r>
    </w:p>
    <w:p>
      <w:pPr>
        <w:spacing w:after="0" w:line="176"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Each Party warrants to the other Parties that:</w:t>
      </w:r>
    </w:p>
    <w:p>
      <w:pPr>
        <w:spacing w:after="0" w:line="225" w:lineRule="exact"/>
        <w:rPr>
          <w:sz w:val="20"/>
          <w:szCs w:val="20"/>
          <w:color w:val="auto"/>
        </w:rPr>
      </w:pPr>
    </w:p>
    <w:p>
      <w:pPr>
        <w:jc w:val="both"/>
        <w:ind w:left="1820" w:hanging="651"/>
        <w:spacing w:after="0" w:line="266" w:lineRule="auto"/>
        <w:tabs>
          <w:tab w:leader="none" w:pos="1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a legal, valid and binding obligation of the Party, enforceable against it in accordance with its terms. The Party has obtained all corporate approvals for the execution of this Agreement and has the authority and capacity to execute this Agreement and to perform its obligations hereunder;</w:t>
      </w:r>
    </w:p>
    <w:p>
      <w:pPr>
        <w:spacing w:after="0" w:line="175" w:lineRule="exact"/>
        <w:rPr>
          <w:rFonts w:ascii="Times New Roman" w:cs="Times New Roman" w:eastAsia="Times New Roman" w:hAnsi="Times New Roman"/>
          <w:sz w:val="18"/>
          <w:szCs w:val="18"/>
          <w:color w:val="auto"/>
        </w:rPr>
      </w:pPr>
    </w:p>
    <w:p>
      <w:pPr>
        <w:ind w:left="1820" w:hanging="651"/>
        <w:spacing w:after="0" w:line="282" w:lineRule="auto"/>
        <w:tabs>
          <w:tab w:leader="none" w:pos="1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by the Party does not conflict with any Applicable Laws, contract or other restriction under which it is obligated;</w:t>
      </w:r>
    </w:p>
    <w:p>
      <w:pPr>
        <w:spacing w:after="0" w:line="161" w:lineRule="exact"/>
        <w:rPr>
          <w:rFonts w:ascii="Times New Roman" w:cs="Times New Roman" w:eastAsia="Times New Roman" w:hAnsi="Times New Roman"/>
          <w:sz w:val="18"/>
          <w:szCs w:val="18"/>
          <w:color w:val="auto"/>
        </w:rPr>
      </w:pPr>
    </w:p>
    <w:p>
      <w:pPr>
        <w:ind w:left="1820" w:hanging="651"/>
        <w:spacing w:after="0" w:line="282" w:lineRule="auto"/>
        <w:tabs>
          <w:tab w:leader="none" w:pos="1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legally formed and operating under the laws of the jurisdiction of its incorporation and its representative has the authority and capacity to sign and perform this Agreement; and</w:t>
      </w:r>
    </w:p>
    <w:p>
      <w:pPr>
        <w:spacing w:after="0" w:line="161"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and delivery of, and the performance by the Party of this Agreement will not result in any breach of any provision of its constitutional documents or result in any claim by a third party against the other Party.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ind w:left="640" w:right="2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The occurrence of any of the following circumstances with respect to a Shareholder (“</w:t>
      </w:r>
      <w:r>
        <w:rPr>
          <w:rFonts w:ascii="Times New Roman" w:cs="Times New Roman" w:eastAsia="Times New Roman" w:hAnsi="Times New Roman"/>
          <w:sz w:val="18"/>
          <w:szCs w:val="18"/>
          <w:b w:val="1"/>
          <w:bCs w:val="1"/>
          <w:color w:val="auto"/>
        </w:rPr>
        <w:t>Defaulting Shareholder</w:t>
      </w:r>
      <w:r>
        <w:rPr>
          <w:rFonts w:ascii="Times New Roman" w:cs="Times New Roman" w:eastAsia="Times New Roman" w:hAnsi="Times New Roman"/>
          <w:sz w:val="18"/>
          <w:szCs w:val="18"/>
          <w:color w:val="auto"/>
        </w:rPr>
        <w:t>”) shall constitute an event of default hereunder of the Defaulting Shareholder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1820" w:hanging="651"/>
        <w:spacing w:after="0" w:line="266" w:lineRule="auto"/>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Shareholder commits a material breach under this Agreement and such material breach (i) is not curable or (ii), if curable, has not been cured within thirty (30) days from the date of the Defaulting Shareholder’s receipt of a notice from any of the other Shareholders requiring cure of such material breach;</w:t>
      </w:r>
    </w:p>
    <w:p>
      <w:pPr>
        <w:spacing w:after="0" w:line="17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Shareholder is subject to an Insolvency Event;</w:t>
      </w:r>
    </w:p>
    <w:p>
      <w:pPr>
        <w:spacing w:after="0" w:line="225" w:lineRule="exact"/>
        <w:rPr>
          <w:rFonts w:ascii="Times New Roman" w:cs="Times New Roman" w:eastAsia="Times New Roman" w:hAnsi="Times New Roman"/>
          <w:sz w:val="18"/>
          <w:szCs w:val="18"/>
          <w:color w:val="auto"/>
        </w:rPr>
      </w:pPr>
    </w:p>
    <w:p>
      <w:pPr>
        <w:ind w:left="1820" w:hanging="651"/>
        <w:spacing w:after="0" w:line="282" w:lineRule="auto"/>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Shareholder sells, transfers, leases or otherwise disposes the whole or substantially the whole of its assets or businesses; and/or</w:t>
      </w:r>
    </w:p>
    <w:p>
      <w:pPr>
        <w:spacing w:after="0" w:line="161"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occurs with respect to the Defaulting Shareholder,</w:t>
      </w:r>
    </w:p>
    <w:p>
      <w:pPr>
        <w:spacing w:after="0" w:line="225" w:lineRule="exact"/>
        <w:rPr>
          <w:sz w:val="20"/>
          <w:szCs w:val="20"/>
          <w:color w:val="auto"/>
        </w:rPr>
      </w:pPr>
    </w:p>
    <w:p>
      <w:pPr>
        <w:ind w:left="1060" w:right="20"/>
        <w:spacing w:after="0" w:line="282" w:lineRule="auto"/>
        <w:rPr>
          <w:sz w:val="20"/>
          <w:szCs w:val="20"/>
          <w:color w:val="auto"/>
        </w:rPr>
      </w:pPr>
      <w:r>
        <w:rPr>
          <w:rFonts w:ascii="Times New Roman" w:cs="Times New Roman" w:eastAsia="Times New Roman" w:hAnsi="Times New Roman"/>
          <w:sz w:val="18"/>
          <w:szCs w:val="18"/>
          <w:color w:val="auto"/>
        </w:rPr>
        <w:t>provided that any redomiciliation or other similar event in respect of the direct or indirect holding company of Animoca Brands shall not under any circumstances constitute an Event of Default.</w:t>
      </w:r>
    </w:p>
    <w:p>
      <w:pPr>
        <w:spacing w:after="0" w:line="158"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Upon occurrence of an Event of Default in respect of a Defaulting Shareholder, the other shareholder(s) (the “</w:t>
      </w:r>
      <w:r>
        <w:rPr>
          <w:rFonts w:ascii="Times New Roman" w:cs="Times New Roman" w:eastAsia="Times New Roman" w:hAnsi="Times New Roman"/>
          <w:sz w:val="18"/>
          <w:szCs w:val="18"/>
          <w:b w:val="1"/>
          <w:bCs w:val="1"/>
          <w:color w:val="auto"/>
        </w:rPr>
        <w:t>Non-Defaulting Shareholders</w:t>
      </w:r>
      <w:r>
        <w:rPr>
          <w:rFonts w:ascii="Times New Roman" w:cs="Times New Roman" w:eastAsia="Times New Roman" w:hAnsi="Times New Roman"/>
          <w:sz w:val="18"/>
          <w:szCs w:val="18"/>
          <w:color w:val="auto"/>
        </w:rPr>
        <w:t>”) shall have the right to require the Defaulting Shareholder to sell all of its Shares to the Non-Defaulting Shareholders at a price per Share equal to ninety per cent (90%) of the Fair Value per Share. If more than one Non-Defaulting Shareholder intends to exercise such right, the number of Shares to be acquired by each such Non-Defaulting Shareholder will be allocated based on the proportion of the number of Shares held by it compared to the total number of Shares held by all such Non-Defaulting Shareholders.</w:t>
      </w:r>
    </w:p>
    <w:p>
      <w:pPr>
        <w:spacing w:after="0" w:line="179"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and Announcements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Each Party shall keep confidential and shall not disclose to any third party any Confidential Information, except to its Representatives who have a need to know such information for the purposes of the performance of this Agreement or the enforcement of rights under this Agreement (the “</w:t>
      </w:r>
      <w:r>
        <w:rPr>
          <w:rFonts w:ascii="Times New Roman" w:cs="Times New Roman" w:eastAsia="Times New Roman" w:hAnsi="Times New Roman"/>
          <w:sz w:val="18"/>
          <w:szCs w:val="18"/>
          <w:b w:val="1"/>
          <w:bCs w:val="1"/>
          <w:color w:val="auto"/>
        </w:rPr>
        <w:t>Permitted Purposes</w:t>
      </w:r>
      <w:r>
        <w:rPr>
          <w:rFonts w:ascii="Times New Roman" w:cs="Times New Roman" w:eastAsia="Times New Roman" w:hAnsi="Times New Roman"/>
          <w:sz w:val="18"/>
          <w:szCs w:val="18"/>
          <w:color w:val="auto"/>
        </w:rPr>
        <w:t>”), provided that such Representatives are informed of the confidential nature of such Confidential Information and are bound by confidentiality obligations no less protective than those contained herein.</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Each Party shall use any other Party’s Confidential Information only for the Permitted Purposes.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The obligations in this Section 16 shall not apply to Confidential Information that:</w:t>
      </w:r>
    </w:p>
    <w:p>
      <w:pPr>
        <w:spacing w:after="0" w:line="225" w:lineRule="exact"/>
        <w:rPr>
          <w:sz w:val="20"/>
          <w:szCs w:val="20"/>
          <w:color w:val="auto"/>
        </w:rPr>
      </w:pPr>
    </w:p>
    <w:p>
      <w:pPr>
        <w:ind w:left="5540" w:right="4740" w:hanging="4371"/>
        <w:spacing w:after="0" w:line="657" w:lineRule="auto"/>
        <w:tabs>
          <w:tab w:leader="none" w:pos="18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the public domain through no fault of the Receiving Party;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ind w:left="1820" w:hanging="651"/>
        <w:spacing w:after="0"/>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communicated to the Receiving Party by a third party under no obligation of confidentiality;</w:t>
      </w:r>
    </w:p>
    <w:p>
      <w:pPr>
        <w:spacing w:after="0" w:line="225"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independently developed by the Receiving Party without reference to any Confidential Information of the Disclosing Party; or</w:t>
      </w:r>
    </w:p>
    <w:p>
      <w:pPr>
        <w:spacing w:after="0" w:line="161" w:lineRule="exact"/>
        <w:rPr>
          <w:rFonts w:ascii="Times New Roman" w:cs="Times New Roman" w:eastAsia="Times New Roman" w:hAnsi="Times New Roman"/>
          <w:sz w:val="18"/>
          <w:szCs w:val="18"/>
          <w:color w:val="auto"/>
        </w:rPr>
      </w:pPr>
    </w:p>
    <w:p>
      <w:pPr>
        <w:ind w:left="1820" w:right="20" w:hanging="651"/>
        <w:spacing w:after="0" w:line="282" w:lineRule="auto"/>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Receiving Party's lawful possession prior to disclosure and had not been obtained either directly or indirectly from the Disclosing Party.</w:t>
      </w:r>
    </w:p>
    <w:p>
      <w:pPr>
        <w:spacing w:after="0" w:line="162" w:lineRule="exact"/>
        <w:rPr>
          <w:sz w:val="20"/>
          <w:szCs w:val="20"/>
          <w:color w:val="auto"/>
        </w:rPr>
      </w:pPr>
    </w:p>
    <w:p>
      <w:pPr>
        <w:jc w:val="both"/>
        <w:ind w:left="1060" w:hanging="647"/>
        <w:spacing w:after="0" w:line="261" w:lineRule="auto"/>
        <w:tabs>
          <w:tab w:leader="none" w:pos="10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If any Confidential Information is required to be disclosed by the Receiving Party pursuant to any Applicable Law or any order or requirement from any court or tribunal or any government or regulatory body, the Receiving Party shall (to the extent legally permissible) promptly notify the Disclosing Party in writing of such requirement and allow the Disclosing Party a reasonable time to oppose such requirement, and the Receiving Party shall disclose only the minimum portion of the Confidential Information that it is required to disclose.</w:t>
      </w:r>
    </w:p>
    <w:p>
      <w:pPr>
        <w:spacing w:after="0" w:line="180"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No Party shall make, or permit any person to make, any public announcement, communication or circular concerning this Agreement (or any matters relating thereto) without the prior written consent of the other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The obligations in this Section 16 shall survive for one (1) year following termination or expiry of this Agreement.</w:t>
      </w:r>
    </w:p>
    <w:p>
      <w:pPr>
        <w:spacing w:after="0" w:line="221"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This Agreement will commence on the Effective Date and continue until terminated in accordance with this Section 17.</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This Agreement shall be terminated automatically upon:</w:t>
      </w:r>
    </w:p>
    <w:p>
      <w:pPr>
        <w:spacing w:after="0" w:line="225" w:lineRule="exact"/>
        <w:rPr>
          <w:sz w:val="20"/>
          <w:szCs w:val="20"/>
          <w:color w:val="auto"/>
        </w:rPr>
      </w:pPr>
    </w:p>
    <w:p>
      <w:pPr>
        <w:ind w:left="1820" w:hanging="651"/>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Parties agree in writing to terminate this Agreement;</w:t>
      </w:r>
    </w:p>
    <w:p>
      <w:pPr>
        <w:spacing w:after="0" w:line="22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Shareholder, the date such Shareholder ceases to hold any Shares;</w:t>
      </w:r>
    </w:p>
    <w:p>
      <w:pPr>
        <w:spacing w:after="0" w:line="22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Shares are held by one person; or</w:t>
      </w:r>
    </w:p>
    <w:p>
      <w:pPr>
        <w:spacing w:after="0" w:line="225" w:lineRule="exact"/>
        <w:rPr>
          <w:rFonts w:ascii="Times New Roman" w:cs="Times New Roman" w:eastAsia="Times New Roman" w:hAnsi="Times New Roman"/>
          <w:sz w:val="18"/>
          <w:szCs w:val="18"/>
          <w:color w:val="auto"/>
        </w:rPr>
      </w:pPr>
    </w:p>
    <w:p>
      <w:pPr>
        <w:ind w:left="1820" w:hanging="651"/>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liquidation or winding up of the Company.</w:t>
      </w:r>
    </w:p>
    <w:p>
      <w:pPr>
        <w:spacing w:after="0" w:line="225" w:lineRule="exact"/>
        <w:rPr>
          <w:sz w:val="20"/>
          <w:szCs w:val="20"/>
          <w:color w:val="auto"/>
        </w:rPr>
      </w:pPr>
    </w:p>
    <w:p>
      <w:pPr>
        <w:jc w:val="both"/>
        <w:ind w:left="640" w:right="2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Termination or expiry will not affect any rights or obligations accrued prior to termination or expiry of this Agreement, and those provisions which are expressed or intended to survive termination or expiration (including without limitation Section 16 and 18), which shall remain in full force and effect.</w:t>
      </w:r>
    </w:p>
    <w:p>
      <w:pPr>
        <w:spacing w:after="0" w:line="172"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liability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To the maximum extent permitted by Law and without limiting any other rights or remedies any Current Shareholder may have, each Current Shareholder’s aggregate liability to the other Current Shareholder shall be limited as follows:</w:t>
      </w:r>
    </w:p>
    <w:p>
      <w:pPr>
        <w:spacing w:after="0" w:line="162" w:lineRule="exact"/>
        <w:rPr>
          <w:sz w:val="20"/>
          <w:szCs w:val="20"/>
          <w:color w:val="auto"/>
        </w:rPr>
      </w:pPr>
    </w:p>
    <w:p>
      <w:pPr>
        <w:ind w:left="1140" w:hanging="498"/>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liability of any Current Shareholder for all Claims shall not exceed the Fair Value of all Shares held by such Current Shareholder; and</w:t>
      </w:r>
    </w:p>
    <w:p>
      <w:pPr>
        <w:spacing w:after="0" w:line="161" w:lineRule="exact"/>
        <w:rPr>
          <w:rFonts w:ascii="Times New Roman" w:cs="Times New Roman" w:eastAsia="Times New Roman" w:hAnsi="Times New Roman"/>
          <w:sz w:val="18"/>
          <w:szCs w:val="18"/>
          <w:color w:val="auto"/>
        </w:rPr>
      </w:pPr>
    </w:p>
    <w:p>
      <w:pPr>
        <w:jc w:val="both"/>
        <w:ind w:left="1140" w:hanging="498"/>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liable for any indirect, incidental, special, exemplary or consequential damages, or damages for lost profits, lost revenues, lost savings, lost business opportunity, loss of data or goodwill, service interruption, damage to reputation, changes in the price of any tokens, computer damage or system failure, whether based on warranty, contract, tort (including negligence), product liability or any other legal theory, and whether or not the other Parties have been informed of the possibility of such damage.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No Party shall be liable for a Claim unless the other Party has provided it with notice in writing summarizing the nature of the Claim (in so far as it</w:t>
      </w:r>
    </w:p>
    <w:p>
      <w:pPr>
        <w:spacing w:after="0" w:line="27" w:lineRule="exact"/>
        <w:rPr>
          <w:sz w:val="20"/>
          <w:szCs w:val="20"/>
          <w:color w:val="auto"/>
        </w:rPr>
      </w:pPr>
    </w:p>
    <w:p>
      <w:pPr>
        <w:ind w:left="640"/>
        <w:spacing w:after="0" w:line="209" w:lineRule="auto"/>
        <w:rPr>
          <w:sz w:val="20"/>
          <w:szCs w:val="20"/>
          <w:color w:val="auto"/>
        </w:rPr>
      </w:pPr>
      <w:r>
        <w:rPr>
          <w:rFonts w:ascii="Times New Roman" w:cs="Times New Roman" w:eastAsia="Times New Roman" w:hAnsi="Times New Roman"/>
          <w:sz w:val="18"/>
          <w:szCs w:val="18"/>
          <w:color w:val="auto"/>
        </w:rPr>
        <w:t>is known) and, as far as it is reasonably practicable, the amount claimed,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anniversary of the date of occurrence of the relevant event or circumstance giving rise to the Claim.</w:t>
      </w:r>
    </w:p>
    <w:p>
      <w:pPr>
        <w:spacing w:after="0" w:line="196"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rFonts w:ascii="Times New Roman" w:cs="Times New Roman" w:eastAsia="Times New Roman" w:hAnsi="Times New Roman"/>
          <w:sz w:val="18"/>
          <w:szCs w:val="18"/>
          <w:b w:val="1"/>
          <w:bCs w:val="1"/>
          <w:color w:val="auto"/>
        </w:rPr>
      </w:pPr>
    </w:p>
    <w:p>
      <w:pPr>
        <w:ind w:left="6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its own expense, each Party shall (and shall use reasonable endeavours to procure that any relevant third party shall) promptly execute and deliver such documents and perform such acts as may be required from time to time for the purpose of giving full effect to this Agreement.</w:t>
      </w:r>
    </w:p>
    <w:p>
      <w:pPr>
        <w:spacing w:after="0" w:line="15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jc w:val="both"/>
        <w:ind w:left="6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Party shall assign, transfer, novate, mortgage, charge, declare a trust in, or deal in any other manner with any or all of their rights and obligations under this Agreement without the prior written consent of the other Party. Any dealing in contravention of this Section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constitutes the entire agreement among the Parties with respect to the subject matter of this Agreement and supersedes and extinguishes all previous discussions, correspondence, negotiations, drafts, agreements, promises, assurances, warranties, representations and understandings among them, whether written or oral, relating to the subject matter of this Agreement.</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and waiver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No variation of this Agreement shall be effective unless it is in writing and signed by the Parties.</w:t>
      </w:r>
    </w:p>
    <w:p>
      <w:pPr>
        <w:spacing w:after="0" w:line="22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No failure or delay by a Party to exercise any right or remedy provided under this Agreement or by Law shall constitute a waiver of that or any other right or remedy, nor shall it prevent or restrict the further exercise of that or any other right or remedy. No single or partial exercise of such right or remedy shall prevent or restrict the further exercise of that or any other right or remedy. A waiver of any right or remedy under this Agreement or by Law is only effective if it is in writing.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Except as expressly provided in this Agreement, the rights and remedies provided under this Agreement are in addition to, and not exclusive of, any rights or remedies provided by Law.</w:t>
      </w:r>
    </w:p>
    <w:p>
      <w:pPr>
        <w:spacing w:after="0" w:line="158" w:lineRule="exact"/>
        <w:rPr>
          <w:sz w:val="20"/>
          <w:szCs w:val="20"/>
          <w:color w:val="auto"/>
        </w:rPr>
      </w:pPr>
    </w:p>
    <w:p>
      <w:pPr>
        <w:ind w:left="632" w:hanging="632"/>
        <w:spacing w:after="0"/>
        <w:tabs>
          <w:tab w:leader="none" w:pos="63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229" w:lineRule="exact"/>
        <w:rPr>
          <w:rFonts w:ascii="Times New Roman" w:cs="Times New Roman" w:eastAsia="Times New Roman" w:hAnsi="Times New Roman"/>
          <w:sz w:val="18"/>
          <w:szCs w:val="18"/>
          <w:b w:val="1"/>
          <w:bCs w:val="1"/>
          <w:color w:val="auto"/>
        </w:rPr>
      </w:pPr>
    </w:p>
    <w:p>
      <w:pPr>
        <w:ind w:left="6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expressly provided in this Agreement, each Party shall pay its own costs and expenses incurred in connection with the negotiation, preparation and execution of this Agreement.</w:t>
      </w:r>
    </w:p>
    <w:p>
      <w:pPr>
        <w:spacing w:after="0" w:line="157" w:lineRule="exact"/>
        <w:rPr>
          <w:rFonts w:ascii="Times New Roman" w:cs="Times New Roman" w:eastAsia="Times New Roman" w:hAnsi="Times New Roman"/>
          <w:sz w:val="18"/>
          <w:szCs w:val="18"/>
          <w:b w:val="1"/>
          <w:bCs w:val="1"/>
          <w:color w:val="auto"/>
        </w:rPr>
      </w:pPr>
    </w:p>
    <w:p>
      <w:pPr>
        <w:ind w:left="632" w:hanging="632"/>
        <w:spacing w:after="0"/>
        <w:tabs>
          <w:tab w:leader="none" w:pos="63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32" w:hanging="633"/>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A notice given to a Party under or in connection with this Agreement shall be in writing and shall be delivered by hand or sent by pre-paid first-class post (or another next working day delivery service) in either case to that Party's registered office or sent by email to that Party’s specified email address.</w:t>
      </w:r>
    </w:p>
    <w:p>
      <w:pPr>
        <w:spacing w:after="0" w:line="176" w:lineRule="exact"/>
        <w:rPr>
          <w:sz w:val="20"/>
          <w:szCs w:val="20"/>
          <w:color w:val="auto"/>
        </w:rPr>
      </w:pPr>
    </w:p>
    <w:p>
      <w:pPr>
        <w:jc w:val="both"/>
        <w:ind w:left="632" w:hanging="633"/>
        <w:spacing w:after="0" w:line="261" w:lineRule="auto"/>
        <w:tabs>
          <w:tab w:leader="none" w:pos="612"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A notice is deemed to have been received if delivered by hand, at the time the notice is left at the proper address, or if sent by email, at the time of receipt, or if sent by pre-paid first class post (or another next working day delivery service), on the second Business Day after posting, unless such deemed receipt would occur outside business hours (meaning 9.00am to 6.00pm Monday to Friday on a day that is not a public holiday in the place of receipt), in which case receipt will occur when business hours resume in the place of receipt.</w:t>
      </w:r>
    </w:p>
    <w:p>
      <w:pPr>
        <w:spacing w:after="0" w:line="176" w:lineRule="exact"/>
        <w:rPr>
          <w:sz w:val="20"/>
          <w:szCs w:val="20"/>
          <w:color w:val="auto"/>
        </w:rPr>
      </w:pPr>
    </w:p>
    <w:p>
      <w:pPr>
        <w:ind w:left="632" w:hanging="632"/>
        <w:spacing w:after="0"/>
        <w:tabs>
          <w:tab w:leader="none" w:pos="6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w:t>
      </w:r>
    </w:p>
    <w:p>
      <w:pPr>
        <w:spacing w:after="0" w:line="229" w:lineRule="exact"/>
        <w:rPr>
          <w:rFonts w:ascii="Times New Roman" w:cs="Times New Roman" w:eastAsia="Times New Roman" w:hAnsi="Times New Roman"/>
          <w:sz w:val="18"/>
          <w:szCs w:val="18"/>
          <w:b w:val="1"/>
          <w:bCs w:val="1"/>
          <w:color w:val="auto"/>
        </w:rPr>
      </w:pPr>
    </w:p>
    <w:p>
      <w:pPr>
        <w:ind w:left="6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or part-provision of this Agreement is or becomes invalid, illegal or unenforceable, it shall be deemed deleted, but any such deletion shall not affect the validity and enforceability of the rest of this Agreement.</w:t>
      </w:r>
    </w:p>
    <w:p>
      <w:pPr>
        <w:spacing w:after="0" w:line="157" w:lineRule="exact"/>
        <w:rPr>
          <w:rFonts w:ascii="Times New Roman" w:cs="Times New Roman" w:eastAsia="Times New Roman" w:hAnsi="Times New Roman"/>
          <w:sz w:val="18"/>
          <w:szCs w:val="18"/>
          <w:b w:val="1"/>
          <w:bCs w:val="1"/>
          <w:color w:val="auto"/>
        </w:rPr>
      </w:pPr>
    </w:p>
    <w:p>
      <w:pPr>
        <w:ind w:left="632" w:hanging="632"/>
        <w:spacing w:after="0"/>
        <w:tabs>
          <w:tab w:leader="none" w:pos="6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jc w:val="both"/>
        <w:ind w:left="632" w:hanging="633"/>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This Agreement may be executed in two or more counterparts, each of which shall be deemed to be an original and all of which together shall be deemed to be the same instrument. In the event that any signature (in relation to this Agreement or any other document required to give effect to this Agreement) is delivered by email delivery of a “.pdf” or other similar format data file or in the event that said signature be an electronic or digital signature, such signature shall create a valid and binding obligation of the party executing (or on whose behalf such signature is executed) with the same force and effect as if such “.pdf” signature or electronic or digital signature was an original thereof.</w:t>
      </w: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22" w:name="page23"/>
    <w:bookmarkEnd w:id="22"/>
    <w:p>
      <w:pPr>
        <w:ind w:left="632" w:hanging="632"/>
        <w:spacing w:after="0"/>
        <w:tabs>
          <w:tab w:leader="none" w:pos="6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jc w:val="both"/>
        <w:ind w:left="632" w:right="20"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This Agreement shall be construed and enforced in accordance with the laws of Hong Kong without giving effect to applicable conflicts of laws principles.</w:t>
      </w:r>
    </w:p>
    <w:p>
      <w:pPr>
        <w:spacing w:after="0" w:line="162" w:lineRule="exact"/>
        <w:rPr>
          <w:sz w:val="20"/>
          <w:szCs w:val="20"/>
          <w:color w:val="auto"/>
        </w:rPr>
      </w:pPr>
    </w:p>
    <w:p>
      <w:pPr>
        <w:jc w:val="both"/>
        <w:ind w:left="632" w:hanging="633"/>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Any dispute, controversy ,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under the HKIAC Administered Arbitration Rules in force when the Notice of Arbitration is submitted. The law of this arbitration clause shall be Hong Kong law. The seat of arbitration shall be Hong Kong. The number of arbitrators shall be one (1). The arbitration proceedings shall be conducted in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Agreement to be executed by their duly authorised representatives as of the 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Animoca Brands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Alan Lau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Alan Lau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Brittany Kaiser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Brittany Kaiser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Alan Lau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Alan Lau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80"/>
          </w:cols>
          <w:pgMar w:left="320" w:top="792" w:right="899" w:bottom="1440" w:gutter="0" w:footer="0" w:header="0"/>
        </w:sectPr>
      </w:pPr>
    </w:p>
    <w:bookmarkStart w:id="24" w:name="page25"/>
    <w:bookmarkEnd w:id="24"/>
    <w:p>
      <w:pPr>
        <w:ind w:left="3600"/>
        <w:spacing w:after="0"/>
        <w:rPr>
          <w:sz w:val="20"/>
          <w:szCs w:val="20"/>
          <w:color w:val="auto"/>
        </w:rPr>
      </w:pPr>
      <w:r>
        <w:rPr>
          <w:rFonts w:ascii="Times New Roman" w:cs="Times New Roman" w:eastAsia="Times New Roman" w:hAnsi="Times New Roman"/>
          <w:sz w:val="18"/>
          <w:szCs w:val="18"/>
          <w:b w:val="1"/>
          <w:bCs w:val="1"/>
          <w:color w:val="auto"/>
        </w:rPr>
        <w:t>SCHEDULE 1 FORM OF DEED OF ADHERENCE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DEED OF ADHERENCE </w:t>
      </w:r>
      <w:r>
        <w:rPr>
          <w:rFonts w:ascii="Times New Roman" w:cs="Times New Roman" w:eastAsia="Times New Roman" w:hAnsi="Times New Roman"/>
          <w:sz w:val="18"/>
          <w:szCs w:val="18"/>
          <w:color w:val="auto"/>
        </w:rPr>
        <w:t>made on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b w:val="1"/>
          <w:bCs w:val="1"/>
          <w:color w:val="auto"/>
        </w:rPr>
        <w:t>NEW SHAREHOLDER</w:t>
      </w:r>
      <w:r>
        <w:rPr>
          <w:rFonts w:ascii="Times New Roman" w:cs="Times New Roman" w:eastAsia="Times New Roman" w:hAnsi="Times New Roman"/>
          <w:sz w:val="18"/>
          <w:szCs w:val="18"/>
          <w:color w:val="auto"/>
          <w:highlight w:val="yellow"/>
        </w:rPr>
        <w:t xml:space="preserve">], </w:t>
      </w:r>
      <w:r>
        <w:rPr>
          <w:rFonts w:ascii="Times New Roman" w:cs="Times New Roman" w:eastAsia="Times New Roman" w:hAnsi="Times New Roman"/>
          <w:sz w:val="18"/>
          <w:szCs w:val="18"/>
          <w:color w:val="auto"/>
        </w:rPr>
        <w:t>a company incorporated in</w:t>
      </w:r>
      <w:r>
        <w:rPr>
          <w:rFonts w:ascii="Times New Roman" w:cs="Times New Roman" w:eastAsia="Times New Roman" w:hAnsi="Times New Roman"/>
          <w:sz w:val="18"/>
          <w:szCs w:val="18"/>
          <w:color w:val="auto"/>
          <w:highlight w:val="yellow"/>
        </w:rPr>
        <w:t xml:space="preserve"> [•] </w:t>
      </w:r>
      <w:r>
        <w:rPr>
          <w:rFonts w:ascii="Times New Roman" w:cs="Times New Roman" w:eastAsia="Times New Roman" w:hAnsi="Times New Roman"/>
          <w:sz w:val="18"/>
          <w:szCs w:val="18"/>
          <w:color w:val="auto"/>
        </w:rPr>
        <w:t>whose registered address is at</w:t>
      </w:r>
      <w:r>
        <w:rPr>
          <w:rFonts w:ascii="Times New Roman" w:cs="Times New Roman" w:eastAsia="Times New Roman" w:hAnsi="Times New Roman"/>
          <w:sz w:val="18"/>
          <w:szCs w:val="18"/>
          <w:color w:val="auto"/>
          <w:highlight w:val="yellow"/>
        </w:rPr>
        <w:t xml:space="preserve"> [•]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New Shareholder</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highlight w:val="yellow"/>
        </w:rPr>
        <w:t xml:space="preserve">], </w:t>
      </w:r>
      <w:r>
        <w:rPr>
          <w:rFonts w:ascii="Times New Roman" w:cs="Times New Roman" w:eastAsia="Times New Roman" w:hAnsi="Times New Roman"/>
          <w:sz w:val="18"/>
          <w:szCs w:val="18"/>
          <w:color w:val="auto"/>
        </w:rPr>
        <w:t>a company incorporated in</w:t>
      </w:r>
      <w:r>
        <w:rPr>
          <w:rFonts w:ascii="Times New Roman" w:cs="Times New Roman" w:eastAsia="Times New Roman" w:hAnsi="Times New Roman"/>
          <w:sz w:val="18"/>
          <w:szCs w:val="18"/>
          <w:color w:val="auto"/>
          <w:highlight w:val="yellow"/>
        </w:rPr>
        <w:t xml:space="preserve"> [•] </w:t>
      </w:r>
      <w:r>
        <w:rPr>
          <w:rFonts w:ascii="Times New Roman" w:cs="Times New Roman" w:eastAsia="Times New Roman" w:hAnsi="Times New Roman"/>
          <w:sz w:val="18"/>
          <w:szCs w:val="18"/>
          <w:color w:val="auto"/>
        </w:rPr>
        <w:t>whose registered address is at</w:t>
      </w:r>
      <w:r>
        <w:rPr>
          <w:rFonts w:ascii="Times New Roman" w:cs="Times New Roman" w:eastAsia="Times New Roman" w:hAnsi="Times New Roman"/>
          <w:sz w:val="18"/>
          <w:szCs w:val="18"/>
          <w:color w:val="auto"/>
          <w:highlight w:val="yellow"/>
        </w:rPr>
        <w:t xml:space="preserve"> [•]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_______________, the Company and its Shareholders entered into a shareholders agreement (as amended and supplemented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Except as the context may otherwise require, all words and expressions defined in the Agreement shall have the same meanings when used in this Deed.</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Shareholder wishes to have Transferred to it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i w:val="1"/>
          <w:iCs w:val="1"/>
          <w:color w:val="auto"/>
        </w:rPr>
        <w:t>insert number and description of shares</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each in the capital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i w:val="1"/>
          <w:iCs w:val="1"/>
          <w:color w:val="auto"/>
        </w:rPr>
        <w:t>insert name of transferring shareholder</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Transferring Shareholder</w:t>
      </w:r>
      <w:r>
        <w:rPr>
          <w:rFonts w:ascii="Times New Roman" w:cs="Times New Roman" w:eastAsia="Times New Roman" w:hAnsi="Times New Roman"/>
          <w:sz w:val="18"/>
          <w:szCs w:val="18"/>
          <w:color w:val="auto"/>
        </w:rPr>
        <w:t xml:space="preserve">"). In accordance with the Agreement, the New Shareholder has agreed to enter into this Deed.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b w:val="1"/>
          <w:bCs w:val="1"/>
          <w:i w:val="1"/>
          <w:iCs w:val="1"/>
          <w:color w:val="auto"/>
        </w:rPr>
        <w:t>Note to Template</w:t>
      </w:r>
      <w:r>
        <w:rPr>
          <w:rFonts w:ascii="Times New Roman" w:cs="Times New Roman" w:eastAsia="Times New Roman" w:hAnsi="Times New Roman"/>
          <w:sz w:val="18"/>
          <w:szCs w:val="18"/>
          <w:i w:val="1"/>
          <w:iCs w:val="1"/>
          <w:color w:val="auto"/>
        </w:rPr>
        <w:t>: Amend as required if the New Shareholder will subscribe for new shares rather than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shares transferred to it.</w:t>
      </w:r>
      <w:r>
        <w:rPr>
          <w:rFonts w:ascii="Times New Roman" w:cs="Times New Roman" w:eastAsia="Times New Roman" w:hAnsi="Times New Roman"/>
          <w:sz w:val="18"/>
          <w:szCs w:val="18"/>
          <w:color w:val="auto"/>
          <w:highlight w:val="yellow"/>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this Deed on behalf of itself and as agent for all the existing Shareholders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THIS DEED WITNESSES </w:t>
      </w:r>
      <w:r>
        <w:rPr>
          <w:rFonts w:ascii="Times New Roman" w:cs="Times New Roman" w:eastAsia="Times New Roman" w:hAnsi="Times New Roman"/>
          <w:sz w:val="18"/>
          <w:szCs w:val="18"/>
          <w:color w:val="auto"/>
        </w:rPr>
        <w:t>as follows: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Shareholder confirms that it has been provided with a copy of the Agreement and all amendments, restatements and supplements thereto and hereby covenants to observe, perform and be bound by all the terms and conditions of the Agreement which are capable of applying to the New Shareholder to the intent and effect that the New Shareholder shall be deemed as, with effect from the date hereof, to be a Party to the Agreement as if the New Shareholder were an original Party to the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Shareholder and the Company shall be entitled to enforce the Agreement against the New Shareholder, and the New Shareholder shall be entitled to all rights and benefits of the Transferring Shareholder (other than those that are non-assignable) under the Agreement in each case as if the New Shareholder had been an original party to the Agreement since the date thereof.</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and e-mail at which notices are to be served on the New Shareholder under the Agreement and the person for whose attention notices are to be addressed are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Shareholder</w:t>
            </w:r>
          </w:p>
        </w:tc>
        <w:tc>
          <w:tcPr>
            <w:tcW w:w="49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Address:</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E-mail:</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attention of:</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440" w:type="dxa"/>
            <w:vAlign w:val="bottom"/>
            <w:vMerge w:val="restart"/>
          </w:tcPr>
          <w:p>
            <w:pPr>
              <w:spacing w:after="0"/>
              <w:rPr>
                <w:sz w:val="18"/>
                <w:szCs w:val="18"/>
                <w:color w:val="auto"/>
              </w:rPr>
            </w:pPr>
          </w:p>
        </w:tc>
        <w:tc>
          <w:tcPr>
            <w:tcW w:w="118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98"/>
              </w:rPr>
              <w:t>[•]</w:t>
            </w:r>
          </w:p>
        </w:tc>
        <w:tc>
          <w:tcPr>
            <w:tcW w:w="24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98"/>
              </w:rPr>
              <w:t>[•]</w:t>
            </w:r>
          </w:p>
        </w:tc>
        <w:tc>
          <w:tcPr>
            <w:tcW w:w="3520" w:type="dxa"/>
            <w:vAlign w:val="bottom"/>
            <w:vMerge w:val="continue"/>
          </w:tcPr>
          <w:p>
            <w:pPr>
              <w:spacing w:after="0"/>
              <w:rPr>
                <w:sz w:val="17"/>
                <w:szCs w:val="17"/>
                <w:color w:val="auto"/>
              </w:rPr>
            </w:pPr>
          </w:p>
        </w:tc>
        <w:tc>
          <w:tcPr>
            <w:tcW w:w="180" w:type="dxa"/>
            <w:vAlign w:val="bottom"/>
            <w:shd w:val="clear" w:color="auto" w:fill="FFFF00"/>
          </w:tcPr>
          <w:p>
            <w:pPr>
              <w:spacing w:after="0" w:line="202" w:lineRule="exact"/>
              <w:rPr>
                <w:sz w:val="20"/>
                <w:szCs w:val="20"/>
                <w:color w:val="auto"/>
              </w:rPr>
            </w:pPr>
            <w:r>
              <w:rPr>
                <w:rFonts w:ascii="Times New Roman" w:cs="Times New Roman" w:eastAsia="Times New Roman" w:hAnsi="Times New Roman"/>
                <w:sz w:val="18"/>
                <w:szCs w:val="18"/>
                <w:color w:val="auto"/>
                <w:highlight w:val="yellow"/>
                <w:w w:val="87"/>
              </w:rPr>
              <w:t>[•]</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Deed shall be governed by and construed in accordance with the laws of Hong Kong.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Deed shall take effect as a deed for the benefit of the Shareholders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Deed has been executed and delivered on the date first above written.</w:t>
      </w:r>
    </w:p>
    <w:p>
      <w:pPr>
        <w:sectPr>
          <w:pgSz w:w="11900" w:h="16838" w:orient="portrait"/>
          <w:cols w:equalWidth="0" w:num="1">
            <w:col w:w="10139"/>
          </w:cols>
          <w:pgMar w:left="320" w:top="792"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5020" w:space="720"/>
            <w:col w:w="4399"/>
          </w:cols>
          <w:pgMar w:left="320" w:top="792"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SHAREHOLDER]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020" w:space="720"/>
            <w:col w:w="4399"/>
          </w:cols>
          <w:pgMar w:left="320" w:top="792" w:right="1440" w:bottom="1440" w:gutter="0" w:footer="0" w:header="0"/>
          <w:type w:val="continuous"/>
        </w:sectPr>
      </w:pPr>
    </w:p>
    <w:p>
      <w:pPr>
        <w:spacing w:after="0" w:line="241"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Signature of director</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Name of director</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Signature of director/secretary</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Name of director/secretary</w:t>
      </w:r>
    </w:p>
    <w:p>
      <w:pPr>
        <w:sectPr>
          <w:pgSz w:w="11900" w:h="16838" w:orient="portrait"/>
          <w:cols w:equalWidth="0" w:num="1">
            <w:col w:w="10139"/>
          </w:cols>
          <w:pgMar w:left="3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5020" w:space="720"/>
            <w:col w:w="4399"/>
          </w:cols>
          <w:pgMar w:left="320" w:top="792"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43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020" w:space="720"/>
            <w:col w:w="4399"/>
          </w:cols>
          <w:pgMar w:left="320" w:top="792" w:right="1440" w:bottom="1440" w:gutter="0" w:footer="0" w:header="0"/>
          <w:type w:val="continuous"/>
        </w:sectPr>
      </w:pPr>
    </w:p>
    <w:p>
      <w:pPr>
        <w:spacing w:after="0" w:line="241"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Signature of director</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Name of director</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Signature of director/secretary</w:t>
      </w:r>
    </w:p>
    <w:p>
      <w:pPr>
        <w:spacing w:after="0" w:line="22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__________________________</w:t>
      </w:r>
      <w:r>
        <w:rPr>
          <w:sz w:val="20"/>
          <w:szCs w:val="20"/>
          <w:color w:val="auto"/>
        </w:rPr>
        <w:tab/>
      </w:r>
      <w:r>
        <w:rPr>
          <w:rFonts w:ascii="Times New Roman" w:cs="Times New Roman" w:eastAsia="Times New Roman" w:hAnsi="Times New Roman"/>
          <w:sz w:val="17"/>
          <w:szCs w:val="17"/>
          <w:color w:val="auto"/>
        </w:rPr>
        <w:t>Name of director/secretary</w:t>
      </w:r>
    </w:p>
    <w:p>
      <w:pPr>
        <w:sectPr>
          <w:pgSz w:w="11900" w:h="16838" w:orient="portrait"/>
          <w:cols w:equalWidth="0" w:num="1">
            <w:col w:w="10139"/>
          </w:cols>
          <w:pgMar w:left="3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SCHEDULE 2 BOARD RESERVED MATTERS</w:t>
      </w:r>
    </w:p>
    <w:p>
      <w:pPr>
        <w:spacing w:after="0" w:line="22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 of the composition or size of the Board.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or amendment of any Business Plan, or approval of any capital expenditure outside the scope of the approved Business Plan.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nature of the Business or commencing any new business which is not ancillary or incidental to the Business.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name of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formation of any subsidiary or any acquisition of shares in any other entity or participating in any partnership or joint venture (incorporated or not).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amalgamation or merger with any other entity.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disposal by any Group Company of any material asset.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or grant any Encumbrance over the whole or any part of the Business, undertaking or assets of any Group Company or over any shares in any Group Company or agreeing to do so, other than Encumbrances arising in the ordinary course of business.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 or incurrence of debt or liability by any Group Company, or any creation or authorisation of the creation of any debt security by any Group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or granting any credit or giving any guarantee or indemnity, in each case other than in the ordinary course of business.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entry into any arrangement, contract or transaction outside the normal course of Business or otherwise than on arm's length terms.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entry into any contract that would be a Material Contract, or any amendment, termination or waiver of the performance of any obligation or liability under any Material Contract, where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which is of material importance to the Company or the Business, or any contract with or involving a value or consideration of no less than US$100,000.</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delivery of notice of termination of any arrangement, contract or transaction which is of material importance to the Business, or materially varying any such arrangement, contract or transaction.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any Intellectual Property Rights (whether by licence or otherwise) by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strategy, tokenomics or holding in relation to GAMEE or WAT, or any sale, issuance, sponsorship, creation or distribution of any new digital tokens, cryptocurrency or other blockchain-based assets.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by any Group Company with any related party, including without limitation any shareholder or director, or any company or business in which the any shareholder or director of has a financial interest.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auditor or financial year end for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accounting policies and principles adopted by ay Group in the preparation of its financial statements, except as required by Applicable Laws.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or distribution of any dividend, or making any other distribution (by way of capitalisation, repayment or in any other manner) by any Group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establishment or amendment of any profit-sharing, share option, bonus or other incentive scheme of any nature for directors, officers, employees, consultants or advisors of any Group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establishment or amendment of any pension scheme or granting any pension rights to any directors, officers, employees, consultants or advisors of any Group Company, or any member of any such person's family.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dismissal or termination of any directors, officers, employees, consultants or advisors of any Group Company resulting in the incurrence of any redundancy or other costs in excess of US$150,000.</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engagement or appointment of any directors, officers, employees, consultants or advisors of any Group Company on terms providing for compensation or remuneration in excess US$150,000 per annum, and any variation of any such employment, engagement or appointment terms.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of any legal proceedings, or settling or compromising any legal proceedings (other than debt recovery proceedings in the ordinary course of business) instituted or threatened against any Group Company, or submitting to arbitration or alternative dispute resolution any dispute involving any Group Company.</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agreement with any revenue or tax authorities or making any claim, disclaimer, election or consent for tax purposes in relation to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SCHEDULE 3 SHAREHOLDER RESERVED MATTERS</w:t>
      </w:r>
    </w:p>
    <w:p>
      <w:pPr>
        <w:spacing w:after="0" w:line="22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variation of the memorandum or articles of association of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variation of any rights attaching to any shares of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of new shares or other alteration or restructuring of the capital structure of any Group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issued share capital of any Group Company, any grant of any option or other interest (in the form of convertible securities or in any other form) over or in the issued share capital of any Group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buyback, cancellation, reduction or repurchase of any shares, or decrease of, or other amendments or variations to, the share capital of any Group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liquidation, dissolution, winding up or similar proceedings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Compute Corp</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F-3 (Nos. 333-286961, 333-290827, 333-291341 and 333-291921), Form F-1 (No. 333-275229), and Form S-8 (Nos. 333-289199, 333-275842) of Alpha Compute Corp of our reports dated May 15, 2026 relating to the financial statements of Ga Mee Global Limited for the fiscal years ended December 31, 2025, 2024 and 2023, which reports appear in this Form 6-K of Alpha Compute Corp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MORISON LC PLT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MORISON LC PLT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Kuala Lumpur, Malaysia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Compute Corp</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F-3 (Nos. 333-286961, 333-290827, 333-291341 and 333-291921), Form F-1 (No. 333-275229), and Form S-8 (Nos. 333-289199, 333-275842) of Alpha Compute Corp of our reports dated May 20, 2026 relating to the IFRS standalone reporting of Gamee Mobile s.r.o. for the fiscal years ended December 31, 2025 and 2024, respectively, which reports appear in this Form 6-K of Alpha Compute Corp.</w:t>
      </w:r>
    </w:p>
    <w:p>
      <w:pPr>
        <w:spacing w:after="0" w:line="180"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Please note that the accounting framework used and the purpose of preparation are described in the note 2 of the notes to this IFRS standalone reporting and the management of Gamee Mobile s.r.o. and of its shareholder should consider whether the reporting is suitable for the purpose they intend to use 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TPA Audit s.r.o.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TPA Audit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Prague, Czech Republic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1137285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 MEE GLOBAL LIMITED (72357475)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31 DECEMBER 2025, 31 DECEMBER 2024 AND 31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3122930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tc>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 by Directors</w:t>
            </w:r>
          </w:p>
        </w:tc>
        <w:tc>
          <w:tcPr>
            <w:tcW w:w="6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4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3</w:t>
            </w:r>
          </w:p>
        </w:tc>
      </w:tr>
      <w:tr>
        <w:trPr>
          <w:trHeight w:val="218"/>
        </w:trPr>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94"/>
        </w:trPr>
        <w:tc>
          <w:tcPr>
            <w:tcW w:w="200" w:type="dxa"/>
            <w:vAlign w:val="bottom"/>
          </w:tcPr>
          <w:p>
            <w:pPr>
              <w:spacing w:after="0"/>
              <w:rPr>
                <w:sz w:val="16"/>
                <w:szCs w:val="16"/>
                <w:color w:val="auto"/>
              </w:rPr>
            </w:pPr>
          </w:p>
        </w:tc>
        <w:tc>
          <w:tcPr>
            <w:tcW w:w="45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Statement of Financial Position</w:t>
            </w:r>
          </w:p>
        </w:tc>
        <w:tc>
          <w:tcPr>
            <w:tcW w:w="64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5</w:t>
            </w:r>
          </w:p>
        </w:tc>
      </w:tr>
      <w:tr>
        <w:trPr>
          <w:trHeight w:val="20"/>
        </w:trPr>
        <w:tc>
          <w:tcPr>
            <w:tcW w:w="2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5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Profit and Loss and Other Comprehensive Income</w:t>
            </w:r>
          </w:p>
        </w:tc>
        <w:tc>
          <w:tcPr>
            <w:tcW w:w="64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2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Changes in Equity</w:t>
            </w:r>
          </w:p>
        </w:tc>
        <w:tc>
          <w:tcPr>
            <w:tcW w:w="2280" w:type="dxa"/>
            <w:vAlign w:val="bottom"/>
            <w:gridSpan w:val="2"/>
          </w:tcPr>
          <w:p>
            <w:pPr>
              <w:spacing w:after="0"/>
              <w:rPr>
                <w:sz w:val="17"/>
                <w:szCs w:val="17"/>
                <w:color w:val="auto"/>
              </w:rPr>
            </w:pPr>
          </w:p>
        </w:tc>
        <w:tc>
          <w:tcPr>
            <w:tcW w:w="64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2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3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Statement of Cash Flows</w:t>
            </w:r>
          </w:p>
        </w:tc>
        <w:tc>
          <w:tcPr>
            <w:tcW w:w="2280" w:type="dxa"/>
            <w:vAlign w:val="bottom"/>
            <w:gridSpan w:val="2"/>
          </w:tcPr>
          <w:p>
            <w:pPr>
              <w:spacing w:after="0"/>
              <w:rPr>
                <w:sz w:val="17"/>
                <w:szCs w:val="17"/>
                <w:color w:val="auto"/>
              </w:rPr>
            </w:pPr>
          </w:p>
        </w:tc>
        <w:tc>
          <w:tcPr>
            <w:tcW w:w="64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5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4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30</w:t>
            </w:r>
          </w:p>
        </w:tc>
      </w:tr>
      <w:tr>
        <w:trPr>
          <w:trHeight w:val="3179"/>
        </w:trPr>
        <w:tc>
          <w:tcPr>
            <w:tcW w:w="200" w:type="dxa"/>
            <w:vAlign w:val="bottom"/>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2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61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BY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Directors of Ga Mee Global Limited state that, in their opinion, the accompanying financial statements are drawn up in accordance with International Financial Reporting Standards issued by the International Accounting Standards Board, so as to give a true and fair view of the financial position of the Company as at 31 December 2025, 31 December 2024 and 31 December 2023 and of the financial performance and the cash flows of the Company for the years ended on those 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on the date of this statement, authorised these financial statements for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Yusuf Mohammedi Goolamabbas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Yusuf Mohammedi Goolamabbas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 AND THE BOARD OF DIRECTORS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 MEE GLOBAL LIMITED (72357475)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Hong Kong with limited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financial statements of Ga Mee Global Limited, which comprises the statement of financial position of the Company as of 31 December 2025, 31 December 2024 and 31 December 2023, the statement of profit and loss and other comprehensive income, statement of changes in equity and statement of cash flows, for the years ended 31 December 2025, 31 December 2024 and 31 December 2023, and the related notes to the financial statements. In our opinion, the financial statements present fairly, in all material respects, the financial position of the Company as of 31 December 2025, 31 December 2024 and 31 December 2023, and the results of its operations and its cash flows for the years ended 31 December 2025, 31 December 2024 and 31 December 2023, in conformity with International Financial Reporting Standards as issued by the International Accounting Standards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incurred a net loss, had a capital deficiency and net current liabilities,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 AND THE BOARD OF DIRECTORS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 MEE GLOBAL LIMITED (72357475)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Hong Kong with limited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 (Cont’d)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MORISON LC PLT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MORISON LC PLT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Number: 202206000028 (LLP0032572-LCA)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KUALA LUMPUR, MALAYSIA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May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17 April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4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w:t>
            </w:r>
          </w:p>
        </w:tc>
        <w:tc>
          <w:tcPr>
            <w:tcW w:w="29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2940" w:type="dxa"/>
            <w:vAlign w:val="bottom"/>
            <w:tcBorders>
              <w:bottom w:val="single" w:sz="8" w:color="CCEEFF"/>
            </w:tcBorders>
          </w:tcPr>
          <w:p>
            <w:pPr>
              <w:jc w:val="center"/>
              <w:ind w:left="147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2,704,992</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2,704,992</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2,704,992</w:t>
            </w:r>
          </w:p>
        </w:tc>
      </w:tr>
      <w:tr>
        <w:trPr>
          <w:trHeight w:val="209"/>
        </w:trPr>
        <w:tc>
          <w:tcPr>
            <w:tcW w:w="47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from a related company</w:t>
            </w:r>
          </w:p>
        </w:tc>
        <w:tc>
          <w:tcPr>
            <w:tcW w:w="294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26,171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9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11,920</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124,817</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94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3,311,851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3,311,851</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bank balances</w:t>
            </w:r>
          </w:p>
        </w:tc>
        <w:tc>
          <w:tcPr>
            <w:tcW w:w="2940" w:type="dxa"/>
            <w:vAlign w:val="bottom"/>
            <w:tcBorders>
              <w:bottom w:val="single" w:sz="8" w:color="CCEEFF"/>
            </w:tcBorders>
          </w:tcPr>
          <w:p>
            <w:pPr>
              <w:jc w:val="center"/>
              <w:ind w:left="1470"/>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165,525</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127,424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27,669</w:t>
            </w:r>
          </w:p>
        </w:tc>
      </w:tr>
      <w:tr>
        <w:trPr>
          <w:trHeight w:val="223"/>
        </w:trPr>
        <w:tc>
          <w:tcPr>
            <w:tcW w:w="47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177,445</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3,590,263</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3,358,215</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2,882,437</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6,295,255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6,063,207</w:t>
            </w:r>
          </w:p>
        </w:tc>
      </w:tr>
      <w:tr>
        <w:trPr>
          <w:trHeight w:val="216"/>
        </w:trPr>
        <w:tc>
          <w:tcPr>
            <w:tcW w:w="47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losses</w:t>
            </w:r>
          </w:p>
        </w:tc>
        <w:tc>
          <w:tcPr>
            <w:tcW w:w="29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(6,267,078)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(4,589,495)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(4,149,338)</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9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(6,267,065)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(4,589,482)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(cont’d)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5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2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2680" w:type="dxa"/>
            <w:vAlign w:val="bottom"/>
            <w:tcBorders>
              <w:bottom w:val="single" w:sz="8" w:color="CCEEFF"/>
            </w:tcBorders>
          </w:tcPr>
          <w:p>
            <w:pPr>
              <w:jc w:val="center"/>
              <w:ind w:left="121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2,863,846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2,823,271</w:t>
            </w:r>
          </w:p>
        </w:tc>
      </w:tr>
      <w:tr>
        <w:trPr>
          <w:trHeight w:val="223"/>
        </w:trPr>
        <w:tc>
          <w:tcPr>
            <w:tcW w:w="50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268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5,793,652</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7,974,475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7,078,100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26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3,286,964</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21,971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290,941</w:t>
            </w: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6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68,886</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24,445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20,220</w:t>
            </w:r>
          </w:p>
        </w:tc>
      </w:tr>
      <w:tr>
        <w:trPr>
          <w:trHeight w:val="223"/>
        </w:trPr>
        <w:tc>
          <w:tcPr>
            <w:tcW w:w="50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9,149,502</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8,020,891</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7,389,261</w:t>
            </w:r>
          </w:p>
        </w:tc>
      </w:tr>
      <w:tr>
        <w:trPr>
          <w:trHeight w:val="223"/>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9,149,502</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10,884,737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10,212,532</w:t>
            </w:r>
          </w:p>
        </w:tc>
      </w:tr>
      <w:tr>
        <w:trPr>
          <w:trHeight w:val="223"/>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6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2,882,437</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6,295,255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6,063,207</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PROFIT AND LOSS AND OTHER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5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5300" w:type="dxa"/>
            <w:vAlign w:val="bottom"/>
          </w:tcPr>
          <w:p>
            <w:pPr>
              <w:spacing w:after="0"/>
              <w:rPr>
                <w:sz w:val="20"/>
                <w:szCs w:val="20"/>
                <w:color w:val="auto"/>
              </w:rPr>
            </w:pP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3,195,139</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3,183,020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1,816,603</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3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(1,056,795)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(423,423)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(497,508)</w:t>
            </w:r>
          </w:p>
        </w:tc>
      </w:tr>
      <w:tr>
        <w:trPr>
          <w:trHeight w:val="209"/>
        </w:trPr>
        <w:tc>
          <w:tcPr>
            <w:tcW w:w="5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2,138,344</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2,759,597</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1,319,095</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29,105</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63,334</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35,523</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changes on impairment on financial assets</w:t>
            </w:r>
          </w:p>
        </w:tc>
        <w:tc>
          <w:tcPr>
            <w:tcW w:w="2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(77,138)</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(3,727,319)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(3,222,513)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(3,374,201)</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2380" w:type="dxa"/>
            <w:vAlign w:val="bottom"/>
            <w:tcBorders>
              <w:bottom w:val="single" w:sz="8" w:color="CCEEFF"/>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(40,575)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(40,575)</w:t>
            </w:r>
          </w:p>
        </w:tc>
      </w:tr>
      <w:tr>
        <w:trPr>
          <w:trHeight w:val="210"/>
        </w:trPr>
        <w:tc>
          <w:tcPr>
            <w:tcW w:w="5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taxation</w:t>
            </w:r>
          </w:p>
        </w:tc>
        <w:tc>
          <w:tcPr>
            <w:tcW w:w="2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(1,677,583)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(2,060,158)</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Taxation</w:t>
            </w:r>
          </w:p>
        </w:tc>
        <w:tc>
          <w:tcPr>
            <w:tcW w:w="2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after tax, representing total comprehensive loss</w:t>
            </w:r>
          </w:p>
        </w:tc>
        <w:tc>
          <w:tcPr>
            <w:tcW w:w="2380" w:type="dxa"/>
            <w:vAlign w:val="bottom"/>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(1,677,583)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(2,060,158)</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4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1 January 2023</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(2,089,180)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(2,089,167)</w:t>
            </w: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for the financial year, representing total comprehensive loss for the financial</w:t>
            </w: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(2,060,158)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(2,060,158)</w:t>
            </w: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31 December 2023</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(4,149,338)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(4,149,325)</w:t>
            </w:r>
          </w:p>
        </w:tc>
      </w:tr>
      <w:tr>
        <w:trPr>
          <w:trHeight w:val="216"/>
        </w:trPr>
        <w:tc>
          <w:tcPr>
            <w:tcW w:w="6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1 January 2024</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(4,149,338)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(4,149,325)</w:t>
            </w: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for the financial year, representing total comprehensive loss for the financial</w:t>
            </w: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(440,157)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(440,157)</w:t>
            </w: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31 December 2024</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(4,589,495)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(4,589,482)</w:t>
            </w:r>
          </w:p>
        </w:tc>
      </w:tr>
      <w:tr>
        <w:trPr>
          <w:trHeight w:val="216"/>
        </w:trPr>
        <w:tc>
          <w:tcPr>
            <w:tcW w:w="6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1 January 2025</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(4,589,495)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(4,589,482)</w:t>
            </w: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for the financial year, representing total comprehensive loss for the financial</w:t>
            </w: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(1,677,583)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(1,677,583)</w:t>
            </w:r>
          </w:p>
        </w:tc>
      </w:tr>
      <w:tr>
        <w:trPr>
          <w:trHeight w:val="223"/>
        </w:trPr>
        <w:tc>
          <w:tcPr>
            <w:tcW w:w="6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As at 31 December 2025</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(6,267,078)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GA MEE GLOBAL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5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(1,677,583)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(2,060,158)</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40,575</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40,575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1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77,138</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before working capital changes</w:t>
            </w:r>
          </w:p>
        </w:tc>
        <w:tc>
          <w:tcPr>
            <w:tcW w:w="18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(1,559,943)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(2,019,653)</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trade receivables</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35,759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other receivables</w:t>
            </w:r>
          </w:p>
        </w:tc>
        <w:tc>
          <w:tcPr>
            <w:tcW w:w="18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3,311,851</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(303,286)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amount due from a related company</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26,171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payables and accruals</w:t>
            </w:r>
          </w:p>
        </w:tc>
        <w:tc>
          <w:tcPr>
            <w:tcW w:w="18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44,441</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20,220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amount due to immediate holding company</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(2,180,823)</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896,375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2,213,177</w:t>
            </w:r>
          </w:p>
        </w:tc>
      </w:tr>
      <w:tr>
        <w:trPr>
          <w:trHeight w:val="22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Increase/(Decrease) in amount due to a related company</w:t>
            </w:r>
          </w:p>
        </w:tc>
        <w:tc>
          <w:tcPr>
            <w:tcW w:w="18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360,572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(268,970)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123,931</w:t>
            </w: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operating activities</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38,028</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99,692</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15,694</w:t>
            </w:r>
          </w:p>
        </w:tc>
      </w:tr>
      <w:tr>
        <w:trPr>
          <w:trHeight w:val="22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8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58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38,101</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99,7.5.5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r>
      <w:tr>
        <w:trPr>
          <w:trHeight w:val="209"/>
        </w:trPr>
        <w:tc>
          <w:tcPr>
            <w:tcW w:w="58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38,101</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99,755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r>
      <w:tr>
        <w:trPr>
          <w:trHeight w:val="23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financial year</w:t>
            </w:r>
          </w:p>
        </w:tc>
        <w:tc>
          <w:tcPr>
            <w:tcW w:w="18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127,424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27,669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11,905</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financial year</w:t>
            </w:r>
          </w:p>
        </w:tc>
        <w:tc>
          <w:tcPr>
            <w:tcW w:w="1880" w:type="dxa"/>
            <w:vAlign w:val="bottom"/>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165,525</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127,424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27,669</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GA MEE GLOBAL LIMITED (72357475)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 Mee Global Limited is a limited liability company incorporated in Hong Kong. Its registered office is located at 28/F, Landmark South, 39 Yip Kan Street, Wong Chuk Hang, Hong Kong.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activities of the company were the provision of advertisement in games.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financial results, position, performance, and cash flows for the years ended 31 December 2025, 31 December 2024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 xml:space="preserve"> 31 December 2023 of the Company were authorised for issue by the Board of Directors on the date of the Statement by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Compliance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for the years ended 31 December 2025, 31 December 2024 and 31 December 2023 of the Company have been prepared in accordance with International Accounting Standards (“IAS”) and International Financial Reporting Standards (“IFRS”) issued by International Accounting Standards Board (“IASB”).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have been prepared under the historical cost convention, unless otherwise indicated in the significant policies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amended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adopted all the new, revised IAS, IFRS and interpretations and amendments to IAS, IFRS issued by the IASB that are mandatory for financial year beginning on 1 January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periods beginning on or after 1 January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(cont’d)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issued but not yet effective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accounting standards, amendments and interpretations of the IFRS framework that have been issued by the International Accounting Standards Board (“IASB”) but have not been adopted by the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periods beginning on/after 1 January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IFRS 7 and 9, “Classification and Measurement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Amendments to IFRS 7 and 9, “Contracts Referencing Nature-dependent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Electricity”Annual Improvements to IFRS Accounting Standards—Volume 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periods beginning on/after 1 January 2027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IFRS 18, “Presentation in Financial Statements” (Original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IFRS 19, “Subsidiaries without Public Accountability: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IFRS 19, “Subsidiaries without Public Accountability: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IAS 21, “Translation to a Hyperinflationary Presentation Currency”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yet to be determined</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Amendments to IFRS 10, “Consolidated Financial Statements” and IAS 28, “Investments in Associates and Joint Ventures” (Sale or Contribution of Assets between an Investor and its Associate or Joint Venture)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adopt the above new and amendments to IAS, IFRSs when they become effective.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adoption of these new and amendments to IAS, IFRS pronouncements did not result in significant changes to the Group’s accounting policies and has no material effect on the amounts or the disclosures reported for the current or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and presentation currency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are presented in United States Dollars (“USD”) which is also the Company’s functional currency. All financial information presented in USD has been rounded to the nearest USD, unless otherwise stated.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(cont’d)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assumption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31 December 2025, the Company incurred a net loss of USD1,677,583 (2024: USD440,157; 2023: USD2,060,158) and, as of 31 December 2025, the Company has a capital deficiency USD6,267,065 (2024: USD4,589,482; 2023: USD4,149,325) and net current liabilities of USD8,972,057 (2024: USD4,430,628; 2023: USD4,031,046) as a result of losses incurred in the current and previous financial year. However, the financial statements of the Company have been prepared on the basis of accounting principles applicable to a going-concern. This going concern basis presumes that the Company will be able to operate profitably in the foreseeable future and financial support from the shareholder will continue to be made available to the Company and, consequently, the realisation of assets and the settlement of liabilities will occur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Material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the material accounting policies set out below, consistently throughout all periods presented in the financial statements unless otherwise stated.</w:t>
      </w:r>
    </w:p>
    <w:p>
      <w:pPr>
        <w:spacing w:after="0" w:line="162"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22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acquired are measured initially at cost. Following initial acquisition, intangible asset is measured at cost less any accumulated impairment losses.</w:t>
      </w:r>
    </w:p>
    <w:p>
      <w:pPr>
        <w:spacing w:after="0" w:line="161"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is tested for impairment annually, irrespective of whether there is any indication of impairment. The useful life of intangible asset is reviewed annually to determine whether the useful life assessment continues to be supportable. If not, the change in useful life from indefmite to finite is made on a prospective basis.</w:t>
      </w:r>
    </w:p>
    <w:p>
      <w:pPr>
        <w:spacing w:after="0" w:line="17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is derecognised upon disposal or when no future economic benefits are expected from its use or disposal. The difference between the net disposal proceeds, if any and the net carrying amounts is recognised in the profit or loss in the year the asset is derecognised.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Note 3. Summary of Material Accounting Policies </w:t>
      </w:r>
      <w:r>
        <w:rPr>
          <w:rFonts w:ascii="Times New Roman" w:cs="Times New Roman" w:eastAsia="Times New Roman" w:hAnsi="Times New Roman"/>
          <w:sz w:val="18"/>
          <w:szCs w:val="18"/>
          <w:color w:val="auto"/>
        </w:rPr>
        <w:t>(cont’d)</w:t>
      </w:r>
    </w:p>
    <w:p>
      <w:pPr>
        <w:spacing w:after="0" w:line="229"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w:t>
      </w:r>
    </w:p>
    <w:p>
      <w:pPr>
        <w:spacing w:after="0" w:line="22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financial liabilities are recognised in the the Company’s statement of financial position when the Company become a party to the contractual provisions of the instrument.</w:t>
      </w:r>
    </w:p>
    <w:p>
      <w:pPr>
        <w:spacing w:after="0" w:line="161" w:lineRule="exact"/>
        <w:rPr>
          <w:rFonts w:ascii="Times New Roman" w:cs="Times New Roman" w:eastAsia="Times New Roman" w:hAnsi="Times New Roman"/>
          <w:sz w:val="18"/>
          <w:szCs w:val="18"/>
          <w:color w:val="auto"/>
        </w:rPr>
      </w:pPr>
    </w:p>
    <w:p>
      <w:pPr>
        <w:jc w:val="both"/>
        <w:ind w:left="5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 Transaction costs directly attributable to the acquisition of financial assets or financial liabilities at fair value through profit or loss are recognised immediately in profit or loss.</w:t>
      </w:r>
    </w:p>
    <w:p>
      <w:pPr>
        <w:spacing w:after="0" w:line="16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22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regular way purchases or sales of financial assets are recognised and derecognised on a trade date basis. Regular way purchases or sales are purchases or sales of financial assets that require delivery of assets within the time frame established by regulation or convention in the marketplace.</w:t>
      </w:r>
    </w:p>
    <w:p>
      <w:pPr>
        <w:spacing w:after="0" w:line="161"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recognised financial assets are measured subsequently in their entirety at either amortised cost or fair value, depending on the classification of the financial assets.</w:t>
      </w:r>
    </w:p>
    <w:p>
      <w:pPr>
        <w:spacing w:after="0" w:line="15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 of financial assets</w:t>
      </w:r>
    </w:p>
    <w:p>
      <w:pPr>
        <w:spacing w:after="0" w:line="2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that meet the following conditions are measured subsequently at amortised cost:</w:t>
      </w:r>
    </w:p>
    <w:p>
      <w:pPr>
        <w:spacing w:after="0" w:line="225" w:lineRule="exact"/>
        <w:rPr>
          <w:rFonts w:ascii="Times New Roman" w:cs="Times New Roman" w:eastAsia="Times New Roman" w:hAnsi="Times New Roman"/>
          <w:sz w:val="18"/>
          <w:szCs w:val="18"/>
          <w:color w:val="auto"/>
        </w:rPr>
      </w:pPr>
    </w:p>
    <w:p>
      <w:pPr>
        <w:ind w:left="1420" w:hanging="908"/>
        <w:spacing w:after="0"/>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hold financial assets in order to collect contractual cash flows;</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520" w:right="120" w:hanging="8"/>
        <w:spacing w:after="0" w:line="282" w:lineRule="auto"/>
        <w:tabs>
          <w:tab w:leader="none" w:pos="13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the financial asset give rise on specified dates to cash flows that are solely payments of principal and interest on the principal amount outstanding.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instruments that meet the following conditions are measured subsequently at fair value through other comprehensive income (“FVTOCI”):</w:t>
      </w:r>
    </w:p>
    <w:p>
      <w:pPr>
        <w:spacing w:after="0" w:line="225" w:lineRule="exact"/>
        <w:rPr>
          <w:sz w:val="20"/>
          <w:szCs w:val="20"/>
          <w:color w:val="auto"/>
        </w:rPr>
      </w:pPr>
    </w:p>
    <w:p>
      <w:pPr>
        <w:ind w:left="1380" w:hanging="868"/>
        <w:spacing w:after="0"/>
        <w:tabs>
          <w:tab w:leader="none" w:pos="13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asset is held within a business model whose objective is achieved by both collecting contractual cash flows and selling the financial</w:t>
      </w:r>
    </w:p>
    <w:p>
      <w:pPr>
        <w:spacing w:after="0" w:line="38"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assets; and</w:t>
      </w:r>
    </w:p>
    <w:p>
      <w:pPr>
        <w:spacing w:after="0" w:line="206" w:lineRule="exact"/>
        <w:rPr>
          <w:rFonts w:ascii="Times New Roman" w:cs="Times New Roman" w:eastAsia="Times New Roman" w:hAnsi="Times New Roman"/>
          <w:sz w:val="17"/>
          <w:szCs w:val="17"/>
          <w:color w:val="auto"/>
        </w:rPr>
      </w:pPr>
    </w:p>
    <w:p>
      <w:pPr>
        <w:ind w:left="520" w:hanging="8"/>
        <w:spacing w:after="0" w:line="282" w:lineRule="auto"/>
        <w:tabs>
          <w:tab w:leader="none" w:pos="14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the financial asset give rise on specified dates to cash flows that are solely payments of principal and interest on the principal amount.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Note 3. Summary of Material Accounting Policies </w:t>
      </w:r>
      <w:r>
        <w:rPr>
          <w:rFonts w:ascii="Times New Roman" w:cs="Times New Roman" w:eastAsia="Times New Roman" w:hAnsi="Times New Roman"/>
          <w:sz w:val="18"/>
          <w:szCs w:val="18"/>
          <w:color w:val="auto"/>
        </w:rPr>
        <w:t>(cont’d)</w:t>
      </w:r>
    </w:p>
    <w:p>
      <w:pPr>
        <w:spacing w:after="0" w:line="229"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(cont’d)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(cont’d)</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By default, all other financial assets are measured subsequently at fair value through profit or loss (“FVTPL”).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Despite the foregoing, the Company may make the following irrevocable election/designation at initial recognition of a financial asset:</w:t>
      </w:r>
    </w:p>
    <w:p>
      <w:pPr>
        <w:spacing w:after="0" w:line="225" w:lineRule="exact"/>
        <w:rPr>
          <w:sz w:val="20"/>
          <w:szCs w:val="20"/>
          <w:color w:val="auto"/>
        </w:rPr>
      </w:pPr>
    </w:p>
    <w:p>
      <w:pPr>
        <w:ind w:right="340" w:firstLine="8"/>
        <w:spacing w:after="0" w:line="282" w:lineRule="auto"/>
        <w:tabs>
          <w:tab w:leader="none" w:pos="4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irrevocably elect to present subsequent changes in fair value of an equity investment in other comprehensive income if certain criteria are met;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4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irrevocably designate a debt instrument that meets the amortised cost or FVTOCI criteria as measured at FVTPL if doing so eliminates or significantly reduces an accounting mismatch.</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Amortised cost and effective interest method</w:t>
      </w:r>
    </w:p>
    <w:p>
      <w:pPr>
        <w:spacing w:after="0" w:line="227"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amortised cost of a debt instrument and of allocating interest income over the relevant period.</w:t>
      </w:r>
    </w:p>
    <w:p>
      <w:pPr>
        <w:spacing w:after="0" w:line="16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For financial assets other than purchased or originated credit impaired financial assets (i.e. assets that are credit impaired on initial recognition), the effective interest rate is the rate that exactly discounts estimated future cash receipts (including all fees and points paid or received that form an integral part of the effective interest rate, transaction costs and other premiums or discounts) excluding expected credit losses, through the expected life of the debt instrument, or, where appropriate, a shorter period, to the gross carrying amount of the debt instrument on initial recognition. For purchased or originated credit impaired financial assets, a credit adjusted effective interest rate is calculated by discounting the estimated future cash flows, including expected credit losses, to the amortised cost of the debt instrument on initial recognition.</w:t>
      </w:r>
    </w:p>
    <w:p>
      <w:pPr>
        <w:spacing w:after="0" w:line="18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amortised cost of a financial asset is the amount at which the financial asset is measured at initial recognition minus the principal repayments, plus the cumulative amortisation using the effective interest method of any difference between that initial amount and the maturity amount, adjusted for any loss allowance. The gross carrying amount of a financial asset is the amortised cost of a financial asset before adjusting for any loss allowance.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Note 3. Summary of Material Accounting Policies </w:t>
      </w:r>
      <w:r>
        <w:rPr>
          <w:rFonts w:ascii="Times New Roman" w:cs="Times New Roman" w:eastAsia="Times New Roman" w:hAnsi="Times New Roman"/>
          <w:sz w:val="18"/>
          <w:szCs w:val="18"/>
          <w:color w:val="auto"/>
        </w:rPr>
        <w:t>(cont’d)</w:t>
      </w:r>
    </w:p>
    <w:p>
      <w:pPr>
        <w:spacing w:after="0" w:line="229"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(cont’d)</w:t>
      </w:r>
    </w:p>
    <w:p>
      <w:pPr>
        <w:spacing w:after="0" w:line="225" w:lineRule="exact"/>
        <w:rPr>
          <w:rFonts w:ascii="Times New Roman" w:cs="Times New Roman" w:eastAsia="Times New Roman" w:hAnsi="Times New Roman"/>
          <w:sz w:val="18"/>
          <w:szCs w:val="18"/>
          <w:color w:val="auto"/>
        </w:rPr>
      </w:pPr>
    </w:p>
    <w:p>
      <w:pPr>
        <w:jc w:val="both"/>
        <w:ind w:left="5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recognised using the effective interest method for debt instruments measured subsequently at amortised cost and at FVTOCI. For financial assets other than purchased or originated credit impaired financial assets, interest income is calculated by applying the effective interest rate to the gross carrying amount of a financial asset, except for financial assets that have subsequently become credit impaired. For financial assets that have subsequently become credit impaired, interest income is recognised by applying the effective interest rate to the amortised cost of the financial asset. If, in subsequent reporting periods, the credit risk on the credit impaired financial instrument improves so that the financial asset is no longer credit impaired, interest income is recognised by applying the effective interest rate to the gross carrying amount of the financial asset.</w:t>
      </w:r>
    </w:p>
    <w:p>
      <w:pPr>
        <w:spacing w:after="0" w:line="187"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purchased or originated credit impaired financial assets, the Company recognise interest income by applying the credit adjusted effective interest rate to the amortised cost of the financial asset from initial recognition. The calculation does not revert to the gross basis even if the credit risk of the financial asset subsequently improves so that the financial asset is no longer credit impaired.</w:t>
      </w:r>
    </w:p>
    <w:p>
      <w:pPr>
        <w:spacing w:after="0" w:line="17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financial liabilities are measured subsequently at amortised cost using the effective interest method.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Amortised cost</w:t>
      </w:r>
    </w:p>
    <w:p>
      <w:pPr>
        <w:spacing w:after="0" w:line="227"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Financial liabilities that are not (i) contingent consideration of an acquirer in a business combination, (ii) held for trading, or (iii) designated as at FVTPL, are measured subsequently at amortised cost using the effective interest method.</w:t>
      </w:r>
    </w:p>
    <w:p>
      <w:pPr>
        <w:spacing w:after="0" w:line="16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amortised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amortised cost of a financial liability.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Note 3. Summary of Material Accounting Policies </w:t>
      </w:r>
      <w:r>
        <w:rPr>
          <w:rFonts w:ascii="Times New Roman" w:cs="Times New Roman" w:eastAsia="Times New Roman" w:hAnsi="Times New Roman"/>
          <w:sz w:val="18"/>
          <w:szCs w:val="18"/>
          <w:color w:val="auto"/>
        </w:rPr>
        <w:t>(cont’d)</w:t>
      </w:r>
    </w:p>
    <w:p>
      <w:pPr>
        <w:spacing w:after="0" w:line="22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w:t>
      </w:r>
    </w:p>
    <w:p>
      <w:pPr>
        <w:spacing w:after="0" w:line="225" w:lineRule="exact"/>
        <w:rPr>
          <w:rFonts w:ascii="Times New Roman" w:cs="Times New Roman" w:eastAsia="Times New Roman" w:hAnsi="Times New Roman"/>
          <w:sz w:val="18"/>
          <w:szCs w:val="18"/>
          <w:color w:val="auto"/>
        </w:rPr>
      </w:pPr>
    </w:p>
    <w:p>
      <w:pPr>
        <w:jc w:val="both"/>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recognised an allowance for expected credit losses (“ECL”) for all debt instruments not held at FVTPL.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79" w:lineRule="exact"/>
        <w:rPr>
          <w:rFonts w:ascii="Times New Roman" w:cs="Times New Roman" w:eastAsia="Times New Roman" w:hAnsi="Times New Roman"/>
          <w:sz w:val="18"/>
          <w:szCs w:val="18"/>
          <w:color w:val="auto"/>
        </w:rPr>
      </w:pPr>
    </w:p>
    <w:p>
      <w:pPr>
        <w:jc w:val="both"/>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ECLs are recognised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non-financial assets</w:t>
      </w:r>
    </w:p>
    <w:p>
      <w:pPr>
        <w:spacing w:after="0" w:line="225"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that have an indefinite useful life, such as goodwill or intangible assets not ready to use, are not subject to amortisation and are tested annually for impairment. Assets that are subject to amortisation and depreciation are reviewed for impairment whenever events or changes in circumstances indicate that the carrying amount may not be recoverable.</w:t>
      </w:r>
    </w:p>
    <w:p>
      <w:pPr>
        <w:spacing w:after="0" w:line="17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generates cash inflows from continuing use that are largely independent of the cash inflows of other assets or cash generating units.</w:t>
      </w:r>
    </w:p>
    <w:p>
      <w:pPr>
        <w:spacing w:after="0" w:line="161"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 or cash-generating unit.</w:t>
      </w:r>
    </w:p>
    <w:p>
      <w:pPr>
        <w:spacing w:after="0" w:line="175" w:lineRule="exact"/>
        <w:rPr>
          <w:rFonts w:ascii="Times New Roman" w:cs="Times New Roman" w:eastAsia="Times New Roman" w:hAnsi="Times New Roman"/>
          <w:sz w:val="18"/>
          <w:szCs w:val="18"/>
          <w:color w:val="auto"/>
        </w:rPr>
      </w:pPr>
    </w:p>
    <w:p>
      <w:pPr>
        <w:ind w:left="5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loss is recognised if the carrying amount of an asset or its related cash-generating unit exceeds its estimated recoverable amount. Impairment losses are recognised in profit or loss unless it reverses a previous revaluation in which it is charged to the revaluation surplus.</w:t>
      </w:r>
    </w:p>
    <w:p>
      <w:pPr>
        <w:spacing w:after="0" w:line="161" w:lineRule="exact"/>
        <w:rPr>
          <w:rFonts w:ascii="Times New Roman" w:cs="Times New Roman" w:eastAsia="Times New Roman" w:hAnsi="Times New Roman"/>
          <w:sz w:val="18"/>
          <w:szCs w:val="18"/>
          <w:color w:val="auto"/>
        </w:rPr>
      </w:pPr>
    </w:p>
    <w:p>
      <w:pPr>
        <w:jc w:val="both"/>
        <w:ind w:left="5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recognised in prior periods are assessed at the end of each reporting period for any indications that the loss has decreased or no longer exists. An impairment loss is reversed if there has been a change in the estimates used to determine the recoverable amount since the last impairment loss was recognised. An impairment loss is reversed only to the extent that the asset’s carrying amount that would have been determined, net of depreciation or amortisation, if no impairment loss had been recognised. Reversals of impairment losses are credited to profit or loss in the financial year in which the reversals are recognised.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Material Accounting Policies </w:t>
      </w:r>
      <w:r>
        <w:rPr>
          <w:rFonts w:ascii="Times New Roman" w:cs="Times New Roman" w:eastAsia="Times New Roman" w:hAnsi="Times New Roman"/>
          <w:sz w:val="18"/>
          <w:szCs w:val="18"/>
          <w:color w:val="auto"/>
        </w:rPr>
        <w:t>(coned)</w:t>
      </w:r>
    </w:p>
    <w:p>
      <w:pPr>
        <w:spacing w:after="0" w:line="229"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at bank which are subject to an insignificant risk of changes in value. For the purpose of the statement of cash flows, cash and cash equivalents are presented net of bank overdrafts and pledged deposits, if any.</w:t>
      </w:r>
    </w:p>
    <w:p>
      <w:pPr>
        <w:spacing w:after="0" w:line="162" w:lineRule="exact"/>
        <w:rPr>
          <w:sz w:val="20"/>
          <w:szCs w:val="20"/>
          <w:color w:val="auto"/>
        </w:rPr>
      </w:pPr>
    </w:p>
    <w:p>
      <w:pPr>
        <w:ind w:left="480" w:hanging="472"/>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w:t>
      </w:r>
    </w:p>
    <w:p>
      <w:pPr>
        <w:spacing w:after="0" w:line="22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Ordinary shares are classified as equity. Other shares are classified as equity and/or liability according to the economic substance of the particular instrument. The transaction costs of an equity transaction are accounted for as a deduction from equity, net of tax. Equity transaction costs comprise only those incremental external costs directly attributable to the equity transaction which would otherwise have been avoided.</w:t>
      </w:r>
    </w:p>
    <w:p>
      <w:pPr>
        <w:spacing w:after="0" w:line="176"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960" w:hanging="448"/>
        <w:spacing w:after="0"/>
        <w:tabs>
          <w:tab w:leader="none" w:pos="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contracts with customers</w:t>
      </w:r>
    </w:p>
    <w:p>
      <w:pPr>
        <w:spacing w:after="0" w:line="225" w:lineRule="exact"/>
        <w:rPr>
          <w:rFonts w:ascii="Times New Roman" w:cs="Times New Roman" w:eastAsia="Times New Roman" w:hAnsi="Times New Roman"/>
          <w:sz w:val="18"/>
          <w:szCs w:val="18"/>
          <w:color w:val="auto"/>
        </w:rPr>
      </w:pPr>
    </w:p>
    <w:p>
      <w:pPr>
        <w:jc w:val="both"/>
        <w:ind w:left="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recognised when the Company satisfied a performance obligation (“PO”) by transferring a promised good or services to the customer, which is when the customer obtains control of the good or service. A PO may be satisfied at a point in time or over time. The amount of revenue recognised is the amount allocated to the satisfied PO.</w:t>
      </w:r>
    </w:p>
    <w:p>
      <w:pPr>
        <w:spacing w:after="0" w:line="175" w:lineRule="exact"/>
        <w:rPr>
          <w:rFonts w:ascii="Times New Roman" w:cs="Times New Roman" w:eastAsia="Times New Roman" w:hAnsi="Times New Roman"/>
          <w:sz w:val="18"/>
          <w:szCs w:val="18"/>
          <w:color w:val="auto"/>
        </w:rPr>
      </w:pPr>
    </w:p>
    <w:p>
      <w:pPr>
        <w:ind w:left="9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recognised based on the price specified in the contract net of the rebates, discounts and taxes. Payment of the transaction price is due immediately at the point the customer purchases the goods.</w:t>
      </w:r>
    </w:p>
    <w:p>
      <w:pPr>
        <w:spacing w:after="0" w:line="161" w:lineRule="exact"/>
        <w:rPr>
          <w:rFonts w:ascii="Times New Roman" w:cs="Times New Roman" w:eastAsia="Times New Roman" w:hAnsi="Times New Roman"/>
          <w:sz w:val="18"/>
          <w:szCs w:val="18"/>
          <w:color w:val="auto"/>
        </w:rPr>
      </w:pPr>
    </w:p>
    <w:p>
      <w:pPr>
        <w:ind w:left="960" w:right="58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recognises revenue from the following sources: </w:t>
      </w:r>
      <w:r>
        <w:rPr>
          <w:rFonts w:ascii="Times New Roman" w:cs="Times New Roman" w:eastAsia="Times New Roman" w:hAnsi="Times New Roman"/>
          <w:sz w:val="18"/>
          <w:szCs w:val="18"/>
          <w:i w:val="1"/>
          <w:iCs w:val="1"/>
          <w:color w:val="auto"/>
        </w:rPr>
        <w:t>Advertising income</w:t>
      </w:r>
    </w:p>
    <w:p>
      <w:pPr>
        <w:spacing w:after="0" w:line="1" w:lineRule="exact"/>
        <w:rPr>
          <w:rFonts w:ascii="Times New Roman" w:cs="Times New Roman" w:eastAsia="Times New Roman" w:hAnsi="Times New Roman"/>
          <w:sz w:val="18"/>
          <w:szCs w:val="18"/>
          <w:color w:val="auto"/>
        </w:rPr>
      </w:pPr>
    </w:p>
    <w:p>
      <w:pPr>
        <w:ind w:left="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contracts with customers to promote their business on the Company’s gaining platform GAMEE. Revenue is recognised at a point in time (i.e., upon completion of campaign) because this is when the customer benefits from the Company’s advertising service.</w:t>
      </w:r>
    </w:p>
    <w:p>
      <w:pPr>
        <w:spacing w:after="0" w:line="15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income</w:t>
      </w:r>
    </w:p>
    <w:p>
      <w:pPr>
        <w:spacing w:after="0" w:line="227" w:lineRule="exact"/>
        <w:rPr>
          <w:rFonts w:ascii="Times New Roman" w:cs="Times New Roman" w:eastAsia="Times New Roman" w:hAnsi="Times New Roman"/>
          <w:sz w:val="18"/>
          <w:szCs w:val="18"/>
          <w:color w:val="auto"/>
        </w:rPr>
      </w:pPr>
    </w:p>
    <w:p>
      <w:pPr>
        <w:ind w:left="9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sales is recognised at the point in time when control of the good is transferred to the customer, generally on confirmation of blockchain, occurrence of subsequent sale or delivery of goods.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ind w:left="140"/>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Material Accounting Policies (cont’d)</w:t>
      </w:r>
    </w:p>
    <w:p>
      <w:pPr>
        <w:spacing w:after="0" w:line="229"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(cont’d)</w:t>
      </w:r>
    </w:p>
    <w:p>
      <w:pPr>
        <w:spacing w:after="0" w:line="225" w:lineRule="exact"/>
        <w:rPr>
          <w:sz w:val="20"/>
          <w:szCs w:val="20"/>
          <w:color w:val="auto"/>
        </w:rPr>
      </w:pPr>
    </w:p>
    <w:p>
      <w:pPr>
        <w:ind w:left="960" w:right="8580" w:hanging="448"/>
        <w:spacing w:after="0" w:line="500" w:lineRule="auto"/>
        <w:tabs>
          <w:tab w:leader="none" w:pos="7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revenue and income </w:t>
      </w:r>
      <w:r>
        <w:rPr>
          <w:rFonts w:ascii="Times New Roman" w:cs="Times New Roman" w:eastAsia="Times New Roman" w:hAnsi="Times New Roman"/>
          <w:sz w:val="18"/>
          <w:szCs w:val="18"/>
          <w:i w:val="1"/>
          <w:iCs w:val="1"/>
          <w:color w:val="auto"/>
        </w:rPr>
        <w:t>Interest income</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recognised on an accrual basis using the effective interest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judgements,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IAS and IFRS requires management to make judgements, estimates and assumptions that affect the reported amounts of revenues, expenses, assets and liabilities, and the disclosure of contingent liabilities at the reporting dates. It also requires the use of certain critical accounting estimates and assumptions. The areas involving a higher degree of judgement or complexity, or areas where assumptions and estimates are significant to the financial statements. However, uncertainty about these assumptions and estimates could result in outcomes that could require a material adjustment to the carrying amount of the asset or liability affected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process of applying the Company’s accounting policies, the directors are of the opinion which there are no instances of application of judgements that are expected to have a significant effect on the amounts recognised in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sources of estimation uncertainty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end of the reporting period, that have a significant risk of causing a material adjustment to the carrying amounts of assets and liabilities within the next reporting period are set out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life of intangible assets</w:t>
      </w: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determination of the useful life of intangible assets requires management judgement as to whether the asset has a finite or indefinite useful life. In making this assessment, the Company considers factors including expected usage of the asset, technological and commercial obsolescence, industry trends, and the ability of the asset to generate future economic benefits. Intangible assets assessed as having an indefinite useful life are not amortised but are tested annually for impairment.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judgements, estimates and assumptions (Cont’d)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sources of estimation uncertainty (cont’d)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is measured by comparing the carrying amount of an asset with its recoverable amount. The recoverable amount is measured at the higher of the fair value less cost to sell for that asset and its value-in-use. The value-in-use is the net present value of the projected cash flow derived from that asset discounted at an appropriate discount rate. Changes to any of these assumptions would affect the amount of impairment.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Intellectual</w:t>
            </w:r>
          </w:p>
        </w:tc>
        <w:tc>
          <w:tcPr>
            <w:tcW w:w="0" w:type="dxa"/>
            <w:vAlign w:val="bottom"/>
          </w:tcPr>
          <w:p>
            <w:pPr>
              <w:spacing w:after="0"/>
              <w:rPr>
                <w:sz w:val="1"/>
                <w:szCs w:val="1"/>
                <w:color w:val="auto"/>
              </w:rPr>
            </w:pPr>
          </w:p>
        </w:tc>
      </w:tr>
      <w:tr>
        <w:trPr>
          <w:trHeight w:val="238"/>
        </w:trPr>
        <w:tc>
          <w:tcPr>
            <w:tcW w:w="10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Cost/Net carrying 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 USD</w:t>
            </w:r>
          </w:p>
        </w:tc>
        <w:tc>
          <w:tcPr>
            <w:tcW w:w="0" w:type="dxa"/>
            <w:vAlign w:val="bottom"/>
          </w:tcPr>
          <w:p>
            <w:pPr>
              <w:spacing w:after="0"/>
              <w:rPr>
                <w:sz w:val="1"/>
                <w:szCs w:val="1"/>
                <w:color w:val="auto"/>
              </w:rPr>
            </w:pPr>
          </w:p>
        </w:tc>
      </w:tr>
      <w:tr>
        <w:trPr>
          <w:trHeight w:val="216"/>
        </w:trPr>
        <w:tc>
          <w:tcPr>
            <w:tcW w:w="101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2023/31 December 2023/31 December 2024/31 December 2025</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2,704,992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Right-of-use of intellectual properties were acquired from a fellow subsidiary, Gamee Mobile s.r.o., on 1 February 2021. The Company acquired the GAMEE Project (“GAMEE”), which was developed by the fellow subsidiary, together with related trademarks and associated platform intellectual property.</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acquired right-of-use of intellectual property has been assessed by the Directors as having an indefinite useful life. In making this assessment, the Directors considered that there is no foreseeable limit to the period over which the asset is expected to generate net cash inflows, taking into account the continued commercial viability and development of the blockchain-based gaming and digital engagement sector, as well as the platform-based nature of the GAMEE ecosystem which allows for continuous enhancement, expansion, and deployment of new gaming content without requiring replacement of the underlying infrastructure. The Directors further considered the Company’s established and expanding user base and strategic affiliation within the Animoca Brands Limited and its subsidiaries, which supports sustained engagement and monetisation through a recurring advertising-based revenue model operating across multiple digital platforms. In addition, the platform continues to be actively maintained and enhanced in accordance with its published development roadmap, supporting ongoing technological evolution rather than replacement of the core system. The Directors also noted that the underlying blockchain infrastructure supporting the platform is continuously evolving and does not, in itself, impose a finite operational life on the intellectual property.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recoverable amounts of the intellectual property at the end of the financial year is determined from value in use calculations by discounting the future cash flows generated from the continuing use of the cash generating unit (“CGU”).</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Note 5: Intangible Asset (Cont’d)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assumptions for the value in use calculations are those regarding the discount rates and growth rates during the period. Management estimates discount rates that reflect the current market assessments of the time value of money and the risks specific to the CGUs. The growth rates are based on past results and budgets done by management.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prepares cash flow forecasts derived from the most recent financial forecasts approved by management for the next five (5) years. The rate used to discount the forecast cash flows is 6%.</w:t>
      </w:r>
    </w:p>
    <w:p>
      <w:pPr>
        <w:spacing w:after="0" w:line="162"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6"/>
          <w:szCs w:val="16"/>
          <w:color w:val="auto"/>
        </w:rPr>
        <w:t>As at 31 December 2025, any reasonably possible change to the key assumptions applied is not likely to cause the recoverable amounts to be below the carrying amounts of the respective CGUs. Having considered the above, the management is of the view that there is no impairment of intellectual property as at 31 December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Trade Receivables</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0"/>
        </w:trPr>
        <w:tc>
          <w:tcPr>
            <w:tcW w:w="76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76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66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89,058</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124,817</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r>
        <w:trPr>
          <w:trHeight w:val="229"/>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impairment losses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(77,138)</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11,920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124,817</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receivables are generally on 30 days term (2024: 30 days; 2023: 30 days). They are recognised at their original invoice amounts which represent their fair values on initial recognition. Other credit terms are approved on a case-by-case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Movements in the impairment loss on trade receivables during the financial year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3980" w:type="dxa"/>
            <w:vAlign w:val="bottom"/>
          </w:tcPr>
          <w:p>
            <w:pPr>
              <w:spacing w:after="0"/>
              <w:rPr>
                <w:sz w:val="18"/>
                <w:szCs w:val="18"/>
                <w:color w:val="auto"/>
              </w:rPr>
            </w:pPr>
          </w:p>
        </w:tc>
        <w:tc>
          <w:tcPr>
            <w:tcW w:w="48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3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29"/>
        </w:trPr>
        <w:tc>
          <w:tcPr>
            <w:tcW w:w="39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the financial year</w:t>
            </w:r>
          </w:p>
        </w:tc>
        <w:tc>
          <w:tcPr>
            <w:tcW w:w="4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losses recognised</w:t>
            </w:r>
          </w:p>
        </w:tc>
        <w:tc>
          <w:tcPr>
            <w:tcW w:w="36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77,138</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the financial year</w:t>
            </w:r>
          </w:p>
        </w:tc>
        <w:tc>
          <w:tcPr>
            <w:tcW w:w="36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77,138</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527"/>
        </w:trPr>
        <w:tc>
          <w:tcPr>
            <w:tcW w:w="3980" w:type="dxa"/>
            <w:vAlign w:val="bottom"/>
          </w:tcPr>
          <w:p>
            <w:pPr>
              <w:spacing w:after="0"/>
              <w:rPr>
                <w:sz w:val="24"/>
                <w:szCs w:val="24"/>
                <w:color w:val="auto"/>
              </w:rPr>
            </w:pPr>
          </w:p>
        </w:tc>
        <w:tc>
          <w:tcPr>
            <w:tcW w:w="36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
        </w:trPr>
        <w:tc>
          <w:tcPr>
            <w:tcW w:w="3980" w:type="dxa"/>
            <w:vAlign w:val="bottom"/>
            <w:shd w:val="clear" w:color="auto" w:fill="000000"/>
          </w:tcPr>
          <w:p>
            <w:pPr>
              <w:spacing w:after="0"/>
              <w:rPr>
                <w:sz w:val="5"/>
                <w:szCs w:val="5"/>
                <w:color w:val="auto"/>
              </w:rPr>
            </w:pPr>
          </w:p>
        </w:tc>
        <w:tc>
          <w:tcPr>
            <w:tcW w:w="36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Trade Receivables (Cont’d)</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aged analysis of trade receivables as at the end of the reporting period:</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140" w:type="dxa"/>
            <w:vAlign w:val="bottom"/>
          </w:tcPr>
          <w:p>
            <w:pPr>
              <w:spacing w:after="0"/>
              <w:rPr>
                <w:sz w:val="24"/>
                <w:szCs w:val="24"/>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22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past due</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11,920</w:t>
            </w:r>
          </w:p>
        </w:tc>
        <w:tc>
          <w:tcPr>
            <w:tcW w:w="120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11,920</w:t>
            </w:r>
          </w:p>
        </w:tc>
      </w:tr>
      <w:tr>
        <w:trPr>
          <w:trHeight w:val="229"/>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Individually impaired</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77,138</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(77,138)</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89,058</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(77,138)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11,920</w:t>
            </w:r>
          </w:p>
        </w:tc>
      </w:tr>
      <w:tr>
        <w:trPr>
          <w:trHeight w:val="203"/>
        </w:trPr>
        <w:tc>
          <w:tcPr>
            <w:tcW w:w="7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31 December 2024</w:t>
            </w: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past due</w:t>
            </w:r>
          </w:p>
        </w:tc>
        <w:tc>
          <w:tcPr>
            <w:tcW w:w="1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7,817</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75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More than 90 days</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117,000</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117,000</w:t>
            </w:r>
          </w:p>
        </w:tc>
      </w:tr>
      <w:tr>
        <w:trPr>
          <w:trHeight w:val="243"/>
        </w:trPr>
        <w:tc>
          <w:tcPr>
            <w:tcW w:w="7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124,817</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124,817</w:t>
            </w:r>
          </w:p>
        </w:tc>
      </w:tr>
      <w:tr>
        <w:trPr>
          <w:trHeight w:val="203"/>
        </w:trPr>
        <w:tc>
          <w:tcPr>
            <w:tcW w:w="7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31 December 2023</w:t>
            </w: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past due</w:t>
            </w:r>
          </w:p>
        </w:tc>
        <w:tc>
          <w:tcPr>
            <w:tcW w:w="1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3,695</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that a trade receivable is credit-impaired when the customer is experiencing significant financial difficulty and has defaulted in payments. Unless otherwise demonstrated, the Company generally considers a default to have occurred when the trade receivable is more than 120 days past due. The gross carrying amount of a credit-impaired trade receivable is directly written off when there is no reasonable expectation of recovery. This normally occurs when there is reasonable proof of customer insolvency.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credit loss rates were based on the payment profile of revenue over a period of 12 months and the corresponding historical credit losses experienced during the period. The rates were adjusted to reflect current and forward-looking information on macroeconomic factors affecting the ability of the customers to settle the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that are past due but not impaired are relate to a number of independent customers for whom there is no recent history of default.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 7: Other Receivables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other receivables approximated to their fair value as at 31 December 2025, 2024 and 2023. The expected credit losses as at 31 December 2025, 2024 and 2023 were considered to be minimal.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Cash and Bank Balances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bank balances are placed with reputable financial institutions with low credit risk. Accordingly, their expected credit losses are not considered to be material and hence, have not been recognised.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Amount Due From/(To) Related Companies</w:t>
            </w: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6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6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6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 related company</w:t>
            </w: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26,171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1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(382,543)</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(290,941)</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(5,793,652)</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(7,974,475)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(7,078,100)</w:t>
            </w:r>
          </w:p>
        </w:tc>
      </w:tr>
      <w:tr>
        <w:trPr>
          <w:trHeight w:val="23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1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(2,904,421)</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(2,863,846)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(2,823,271)</w:t>
            </w:r>
          </w:p>
        </w:tc>
      </w:tr>
    </w:tbl>
    <w:p>
      <w:pPr>
        <w:spacing w:after="0" w:line="198" w:lineRule="exact"/>
        <w:rPr>
          <w:sz w:val="20"/>
          <w:szCs w:val="20"/>
          <w:color w:val="auto"/>
        </w:rPr>
      </w:pPr>
    </w:p>
    <w:p>
      <w:pPr>
        <w:ind w:left="780" w:hanging="583"/>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with related companies and immediate holding company are unsecured, interest-free and repayable on demand.</w:t>
      </w:r>
    </w:p>
    <w:p>
      <w:pPr>
        <w:spacing w:after="0" w:line="252" w:lineRule="exact"/>
        <w:rPr>
          <w:rFonts w:ascii="Times New Roman" w:cs="Times New Roman" w:eastAsia="Times New Roman" w:hAnsi="Times New Roman"/>
          <w:sz w:val="18"/>
          <w:szCs w:val="18"/>
          <w:color w:val="auto"/>
        </w:rPr>
      </w:pPr>
    </w:p>
    <w:p>
      <w:pPr>
        <w:ind w:left="780" w:hanging="583"/>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from a related company is unsecured and matures on 1 February 2026. The interest rate (per annum) of the loan is 1.5% (2024: 1.5%;</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1.5%).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Revenue</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0"/>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11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09"/>
        </w:trPr>
        <w:tc>
          <w:tcPr>
            <w:tcW w:w="11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At point in time</w:t>
            </w:r>
          </w:p>
        </w:tc>
        <w:tc>
          <w:tcPr>
            <w:tcW w:w="65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Advertising income</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3,154,427</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2,895,878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1,485,749</w:t>
            </w:r>
          </w:p>
        </w:tc>
      </w:tr>
      <w:tr>
        <w:trPr>
          <w:trHeight w:val="230"/>
        </w:trPr>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Sale income</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40,712</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287,142</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330,854</w:t>
            </w:r>
          </w:p>
        </w:tc>
      </w:tr>
      <w:tr>
        <w:trPr>
          <w:trHeight w:val="223"/>
        </w:trPr>
        <w:tc>
          <w:tcPr>
            <w:tcW w:w="11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3,195,139</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3,183,020</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1,816,603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is at a point in time when the goods are delivered and accepted by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Other Income</w:t>
            </w:r>
          </w:p>
        </w:tc>
        <w:tc>
          <w:tcPr>
            <w:tcW w:w="3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0"/>
        </w:trPr>
        <w:tc>
          <w:tcPr>
            <w:tcW w:w="4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r>
      <w:tr>
        <w:trPr>
          <w:trHeight w:val="216"/>
        </w:trPr>
        <w:tc>
          <w:tcPr>
            <w:tcW w:w="4240" w:type="dxa"/>
            <w:vAlign w:val="bottom"/>
          </w:tcPr>
          <w:p>
            <w:pPr>
              <w:spacing w:after="0"/>
              <w:rPr>
                <w:sz w:val="18"/>
                <w:szCs w:val="18"/>
                <w:color w:val="auto"/>
              </w:rPr>
            </w:pPr>
          </w:p>
        </w:tc>
        <w:tc>
          <w:tcPr>
            <w:tcW w:w="460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4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4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Service income from a fellow subsidiary</w:t>
            </w:r>
          </w:p>
        </w:tc>
        <w:tc>
          <w:tcPr>
            <w:tcW w:w="4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29,032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63,245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35,453</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29,105</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63,334</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35,523</w:t>
            </w: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Loss Before Taxation</w:t>
            </w:r>
          </w:p>
        </w:tc>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0"/>
        </w:trPr>
        <w:tc>
          <w:tcPr>
            <w:tcW w:w="4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r>
      <w:tr>
        <w:trPr>
          <w:trHeight w:val="216"/>
        </w:trPr>
        <w:tc>
          <w:tcPr>
            <w:tcW w:w="4240" w:type="dxa"/>
            <w:vAlign w:val="bottom"/>
          </w:tcPr>
          <w:p>
            <w:pPr>
              <w:spacing w:after="0"/>
              <w:rPr>
                <w:sz w:val="18"/>
                <w:szCs w:val="18"/>
                <w:color w:val="auto"/>
              </w:rPr>
            </w:pPr>
          </w:p>
        </w:tc>
        <w:tc>
          <w:tcPr>
            <w:tcW w:w="460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4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to a fellow subsidiary</w:t>
            </w:r>
          </w:p>
        </w:tc>
        <w:tc>
          <w:tcPr>
            <w:tcW w:w="4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3,437,141</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3,051,379</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3,339,495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Auditor’s remuneration</w:t>
            </w:r>
          </w:p>
        </w:tc>
        <w:tc>
          <w:tcPr>
            <w:tcW w:w="4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45,729</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12,237</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12,208</w:t>
            </w: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4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77,138</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4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13: Finance Costs</w:t>
            </w:r>
          </w:p>
        </w:tc>
        <w:tc>
          <w:tcPr>
            <w:tcW w:w="34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410"/>
        </w:trPr>
        <w:tc>
          <w:tcPr>
            <w:tcW w:w="4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r>
      <w:tr>
        <w:trPr>
          <w:trHeight w:val="216"/>
        </w:trPr>
        <w:tc>
          <w:tcPr>
            <w:tcW w:w="4240" w:type="dxa"/>
            <w:vAlign w:val="bottom"/>
          </w:tcPr>
          <w:p>
            <w:pPr>
              <w:spacing w:after="0"/>
              <w:rPr>
                <w:sz w:val="18"/>
                <w:szCs w:val="18"/>
                <w:color w:val="auto"/>
              </w:rPr>
            </w:pPr>
          </w:p>
        </w:tc>
        <w:tc>
          <w:tcPr>
            <w:tcW w:w="460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4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 from a fellow subsidiary</w:t>
            </w:r>
          </w:p>
        </w:tc>
        <w:tc>
          <w:tcPr>
            <w:tcW w:w="4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40,575</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40,575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40,575</w:t>
            </w:r>
          </w:p>
        </w:tc>
      </w:tr>
      <w:tr>
        <w:trPr>
          <w:trHeight w:val="527"/>
        </w:trPr>
        <w:tc>
          <w:tcPr>
            <w:tcW w:w="424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jc w:val="right"/>
              <w:ind w:right="185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Note 14: Taxation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 provision for Hong Kong profits tax has been made as the Company did not generate any assessable profits arising in Hong Kong during the year (2024: Nil; 2023: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tax expense applicable to loss before tax at the statutory rate to the tax expense at the effective tax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766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6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taxation</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(1,677,583)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(2,060,158)</w:t>
            </w:r>
          </w:p>
        </w:tc>
      </w:tr>
      <w:tr>
        <w:trPr>
          <w:trHeight w:val="203"/>
        </w:trPr>
        <w:tc>
          <w:tcPr>
            <w:tcW w:w="766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Tax at statutory tax rate of 16.5%</w:t>
            </w:r>
          </w:p>
        </w:tc>
        <w:tc>
          <w:tcPr>
            <w:tcW w:w="118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(276,801)</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(72,626)</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(339,926)</w:t>
            </w:r>
          </w:p>
        </w:tc>
      </w:tr>
      <w:tr>
        <w:trPr>
          <w:trHeight w:val="21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not subject to tax</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losses not recognised</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276,813</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72,636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339,938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tax losses arising in Hong Kong of USD 6,190,828 (2024: USD4,513,172; 2023: USD4,072,952) that are available indefinitely for offsetting against its future taxable profits. Deferred tax assets have not been recognised in respect of these losses as the Company has been loss-making for some time and it is not considered probable that taxable profits will be available against which the tax losses can be utilised.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Disclosures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these financial statements, parties are considered to be related to the Company if the Company has the ability, directly or indirectly, to control or joint control the party or exercise significant influence over the party in making financial and operating decisions, or vice versa, or where the Company and the party are subject to common control. Related parties may be individuals or other entities.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parties also include key management personnel defined as those persons having authority and responsibility for planning, directing and controlling the activities of the Company either directly or indirectly. The key management personnel comprise the Director and management personnel of the Company, having authority and responsibility for planning, directing and controlling the activities of the Company directly or indirectly.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Note 15: Related Party Disclosures (Cont’d)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related party transactions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Related party transactions have been entered into in the normal course of business under negotiated terms. In addition to the related party balances disclosed elsewhere in the financial statements, the significant related party transactions between the Company and a related party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4520" w:type="dxa"/>
            <w:vAlign w:val="bottom"/>
          </w:tcPr>
          <w:p>
            <w:pPr>
              <w:spacing w:after="0"/>
              <w:rPr>
                <w:sz w:val="18"/>
                <w:szCs w:val="18"/>
                <w:color w:val="auto"/>
              </w:rPr>
            </w:pPr>
          </w:p>
        </w:tc>
        <w:tc>
          <w:tcPr>
            <w:tcW w:w="43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income from a related company</w:t>
            </w:r>
          </w:p>
        </w:tc>
        <w:tc>
          <w:tcPr>
            <w:tcW w:w="4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29,032</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63,245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Service fees to a related company</w:t>
            </w:r>
          </w:p>
        </w:tc>
        <w:tc>
          <w:tcPr>
            <w:tcW w:w="4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(3,437,141)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(3,339,495)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to a related company</w:t>
            </w:r>
          </w:p>
        </w:tc>
        <w:tc>
          <w:tcPr>
            <w:tcW w:w="4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w:t>
            </w: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Service recharge to immediate holding company</w:t>
            </w:r>
          </w:p>
        </w:tc>
        <w:tc>
          <w:tcPr>
            <w:tcW w:w="4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(61,919)</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756"/>
        </w:trPr>
        <w:tc>
          <w:tcPr>
            <w:tcW w:w="4520" w:type="dxa"/>
            <w:vAlign w:val="bottom"/>
          </w:tcPr>
          <w:p>
            <w:pPr>
              <w:spacing w:after="0"/>
              <w:rPr>
                <w:sz w:val="24"/>
                <w:szCs w:val="24"/>
                <w:color w:val="auto"/>
              </w:rPr>
            </w:pPr>
          </w:p>
        </w:tc>
        <w:tc>
          <w:tcPr>
            <w:tcW w:w="31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68"/>
        </w:trPr>
        <w:tc>
          <w:tcPr>
            <w:tcW w:w="4520" w:type="dxa"/>
            <w:vAlign w:val="bottom"/>
            <w:shd w:val="clear" w:color="auto" w:fill="000000"/>
          </w:tcPr>
          <w:p>
            <w:pPr>
              <w:spacing w:after="0"/>
              <w:rPr>
                <w:sz w:val="5"/>
                <w:szCs w:val="5"/>
                <w:color w:val="auto"/>
              </w:rPr>
            </w:pPr>
          </w:p>
        </w:tc>
        <w:tc>
          <w:tcPr>
            <w:tcW w:w="31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w:t>
      </w:r>
    </w:p>
    <w:p>
      <w:pPr>
        <w:spacing w:after="0" w:line="229"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financial instruments</w:t>
      </w:r>
    </w:p>
    <w:p>
      <w:pPr>
        <w:spacing w:after="0" w:line="22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financial liabilities are measured on an ongoing basis either at fair value or at amortised cost. The principal accounting policies in Note 3 describe how the classes of financial instruments are measured, and how income and expense, including fair value gains and losses, are recognised.</w:t>
      </w:r>
    </w:p>
    <w:p>
      <w:pPr>
        <w:spacing w:after="0" w:line="175"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analyses the financial assets and liabilities in the statement of financial position by the class of financial instruments to which they are assigned, and therefore by the measurement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amortised cost</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23"/>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from a related company</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26,171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11,920</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124,817</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3,311,851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3,311,851</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bank balances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165,525</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127,424</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27,669</w:t>
            </w:r>
          </w:p>
        </w:tc>
      </w:tr>
      <w:tr>
        <w:trPr>
          <w:trHeight w:val="223"/>
        </w:trPr>
        <w:tc>
          <w:tcPr>
            <w:tcW w:w="7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177,445</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3,590,263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3,358,215</w:t>
            </w:r>
          </w:p>
        </w:tc>
      </w:tr>
      <w:tr>
        <w:trPr>
          <w:trHeight w:val="210"/>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5,793,652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7,974,475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7,078,100</w:t>
            </w:r>
          </w:p>
        </w:tc>
      </w:tr>
      <w:tr>
        <w:trPr>
          <w:trHeight w:val="216"/>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382,543</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21,971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290,941</w:t>
            </w: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2,904,421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2,863,846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2,823,271</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68,886</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24,445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20,220</w:t>
            </w:r>
          </w:p>
        </w:tc>
      </w:tr>
      <w:tr>
        <w:trPr>
          <w:trHeight w:val="223"/>
        </w:trPr>
        <w:tc>
          <w:tcPr>
            <w:tcW w:w="7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9,149,502</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10,884,737</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10,212,532</w:t>
            </w:r>
          </w:p>
        </w:tc>
      </w:tr>
    </w:tbl>
    <w:p>
      <w:pPr>
        <w:spacing w:after="0" w:line="198"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objectives and policies</w:t>
      </w:r>
    </w:p>
    <w:p>
      <w:pPr>
        <w:spacing w:after="0" w:line="225"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The Company standardised financial risk management policy is to ensure that adequate financial resources are available for the development of the Company whilst managing its financial risks, including credit risk, liquidity risk, foreign currency risk and interest risk. The Company operates within clearly defined guidelines that are approved by the Board and the Parent’s policy is not to engage in speculative transactions.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 (cont’d)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risk management objectives and policies (cont’d)</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The following sections provide details regarding the Company’s exposure to the abovementioned financial risks and the objective, policies and processes for the management of these risks.</w:t>
      </w:r>
    </w:p>
    <w:p>
      <w:pPr>
        <w:spacing w:after="0" w:line="162" w:lineRule="exact"/>
        <w:rPr>
          <w:sz w:val="20"/>
          <w:szCs w:val="20"/>
          <w:color w:val="auto"/>
        </w:rPr>
      </w:pPr>
    </w:p>
    <w:p>
      <w:pPr>
        <w:ind w:left="780" w:hanging="383"/>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that are primarily exposed to credit risks are receivables, inter-company balances and cash and bank balances.</w:t>
      </w:r>
    </w:p>
    <w:p>
      <w:pPr>
        <w:spacing w:after="0" w:line="225" w:lineRule="exact"/>
        <w:rPr>
          <w:rFonts w:ascii="Times New Roman" w:cs="Times New Roman" w:eastAsia="Times New Roman" w:hAnsi="Times New Roman"/>
          <w:sz w:val="18"/>
          <w:szCs w:val="18"/>
          <w:color w:val="auto"/>
        </w:rPr>
      </w:pPr>
    </w:p>
    <w:p>
      <w:pPr>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is the risk of a financial loss to the Company if a customer or counterparty to a financial instrument fails to meet its contractual obligations. The Company’s exposure to credit risk arises principally from the inability of its customers to make payments when due.</w:t>
      </w:r>
    </w:p>
    <w:p>
      <w:pPr>
        <w:spacing w:after="0" w:line="161" w:lineRule="exact"/>
        <w:rPr>
          <w:rFonts w:ascii="Times New Roman" w:cs="Times New Roman" w:eastAsia="Times New Roman" w:hAnsi="Times New Roman"/>
          <w:sz w:val="18"/>
          <w:szCs w:val="18"/>
          <w:color w:val="auto"/>
        </w:rPr>
      </w:pPr>
    </w:p>
    <w:p>
      <w:pPr>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amounts of the financial assets recorded on the statement of financial position at the end of the reporting period represent the Company’s maximum exposure to credit risk.</w:t>
      </w:r>
    </w:p>
    <w:p>
      <w:pPr>
        <w:spacing w:after="0" w:line="161"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225" w:lineRule="exact"/>
        <w:rPr>
          <w:rFonts w:ascii="Times New Roman" w:cs="Times New Roman" w:eastAsia="Times New Roman" w:hAnsi="Times New Roman"/>
          <w:sz w:val="18"/>
          <w:szCs w:val="18"/>
          <w:color w:val="auto"/>
        </w:rPr>
      </w:pPr>
    </w:p>
    <w:p>
      <w:pPr>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refers to the risk that the Company will encounter difficulty in meeting its financial obligations as they fall due. The Company’s exposure to liquidity risk arises primarily from mismatches of the maturities of financial assets and liabilities.</w:t>
      </w:r>
    </w:p>
    <w:p>
      <w:pPr>
        <w:spacing w:after="0" w:line="161" w:lineRule="exact"/>
        <w:rPr>
          <w:rFonts w:ascii="Times New Roman" w:cs="Times New Roman" w:eastAsia="Times New Roman" w:hAnsi="Times New Roman"/>
          <w:sz w:val="18"/>
          <w:szCs w:val="18"/>
          <w:color w:val="auto"/>
        </w:rPr>
      </w:pPr>
    </w:p>
    <w:p>
      <w:pPr>
        <w:jc w:val="both"/>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funding requirements and liquidity risk are managed with the objective of meeting business obligations on a timely basis. The Company finances its liquidity through internally generated cash flows and minimises liquidity risk by keeping committed credit lines available.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 (cont’d)</w:t>
      </w:r>
    </w:p>
    <w:p>
      <w:pPr>
        <w:spacing w:after="0" w:line="229"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objectives and policies (cont’d)</w:t>
      </w:r>
    </w:p>
    <w:p>
      <w:pPr>
        <w:spacing w:after="0" w:line="225" w:lineRule="exact"/>
        <w:rPr>
          <w:rFonts w:ascii="Times New Roman" w:cs="Times New Roman" w:eastAsia="Times New Roman" w:hAnsi="Times New Roman"/>
          <w:sz w:val="18"/>
          <w:szCs w:val="18"/>
          <w:color w:val="auto"/>
        </w:rPr>
      </w:pPr>
    </w:p>
    <w:p>
      <w:pPr>
        <w:ind w:left="660" w:hanging="263"/>
        <w:spacing w:after="0"/>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(cont’d)</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Analysis of financial instruments by remaining contractual maturities</w:t>
      </w:r>
    </w:p>
    <w:p>
      <w:pPr>
        <w:spacing w:after="0" w:line="225" w:lineRule="exact"/>
        <w:rPr>
          <w:sz w:val="20"/>
          <w:szCs w:val="20"/>
          <w:color w:val="auto"/>
        </w:rPr>
      </w:pPr>
    </w:p>
    <w:p>
      <w:pPr>
        <w:ind w:left="780"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summarises the maturity profile of the Company’s financial liabilities at the end of the reporting period based on undiscounted contractual payments: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demand or</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within 1</w:t>
            </w:r>
          </w:p>
        </w:tc>
        <w:tc>
          <w:tcPr>
            <w:tcW w:w="1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undiscounted</w:t>
            </w:r>
          </w:p>
        </w:tc>
      </w:tr>
      <w:tr>
        <w:trPr>
          <w:trHeight w:val="216"/>
        </w:trPr>
        <w:tc>
          <w:tcPr>
            <w:tcW w:w="520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 to 5 years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 flow</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December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5,793,652</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5,793,652</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5,793,652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382,543</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382,543</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382,543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2,904,421</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2,907,867</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2,907,867</w:t>
            </w:r>
          </w:p>
        </w:tc>
      </w:tr>
      <w:tr>
        <w:trPr>
          <w:trHeight w:val="23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68,886</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68,886</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68,886</w:t>
            </w:r>
          </w:p>
        </w:tc>
      </w:tr>
      <w:tr>
        <w:trPr>
          <w:trHeight w:val="243"/>
        </w:trPr>
        <w:tc>
          <w:tcPr>
            <w:tcW w:w="5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9,149,502</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9,152,948</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9,152,948</w:t>
            </w: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31 December 2024</w:t>
            </w: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7,974,475</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7,974,475</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7,974,475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21,971</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21,971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21,971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2,863,846</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2,907,867</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2,907,867</w:t>
            </w:r>
          </w:p>
        </w:tc>
      </w:tr>
      <w:tr>
        <w:trPr>
          <w:trHeight w:val="23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24,445</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24,445</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24,445</w:t>
            </w:r>
          </w:p>
        </w:tc>
      </w:tr>
      <w:tr>
        <w:trPr>
          <w:trHeight w:val="230"/>
        </w:trPr>
        <w:tc>
          <w:tcPr>
            <w:tcW w:w="5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10,884,737</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8,020,891</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2,907,867</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10,928,758</w:t>
            </w:r>
          </w:p>
        </w:tc>
      </w:tr>
      <w:tr>
        <w:trPr>
          <w:trHeight w:val="756"/>
        </w:trPr>
        <w:tc>
          <w:tcPr>
            <w:tcW w:w="520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52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 (cont’d)</w:t>
      </w:r>
    </w:p>
    <w:p>
      <w:pPr>
        <w:spacing w:after="0" w:line="229"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objectives and policies (cont’d)</w:t>
      </w:r>
    </w:p>
    <w:p>
      <w:pPr>
        <w:spacing w:after="0" w:line="225" w:lineRule="exact"/>
        <w:rPr>
          <w:rFonts w:ascii="Times New Roman" w:cs="Times New Roman" w:eastAsia="Times New Roman" w:hAnsi="Times New Roman"/>
          <w:sz w:val="18"/>
          <w:szCs w:val="18"/>
          <w:color w:val="auto"/>
        </w:rPr>
      </w:pPr>
    </w:p>
    <w:p>
      <w:pPr>
        <w:ind w:left="660" w:hanging="263"/>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(cont’d)</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Analysis of financial instruments by remaining contractual maturities (cont’d)</w:t>
      </w:r>
    </w:p>
    <w:p>
      <w:pPr>
        <w:spacing w:after="0" w:line="225" w:lineRule="exact"/>
        <w:rPr>
          <w:sz w:val="20"/>
          <w:szCs w:val="20"/>
          <w:color w:val="auto"/>
        </w:rPr>
      </w:pPr>
    </w:p>
    <w:p>
      <w:pPr>
        <w:ind w:left="780"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summarises the maturity profile of the Company’s financial liabilities at the end of the reporting period based on undiscounted contractual payments: (cont’d)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demand or</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within 1</w:t>
            </w:r>
          </w:p>
        </w:tc>
        <w:tc>
          <w:tcPr>
            <w:tcW w:w="1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undiscounted</w:t>
            </w:r>
          </w:p>
        </w:tc>
      </w:tr>
      <w:tr>
        <w:trPr>
          <w:trHeight w:val="216"/>
        </w:trPr>
        <w:tc>
          <w:tcPr>
            <w:tcW w:w="520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 to 5 years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 flow</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December 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7,078,100</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7,078,100</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7,078,100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related company</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290,941</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290,941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290,941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2,823,271</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2,907,867</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2,907,867</w:t>
            </w:r>
          </w:p>
        </w:tc>
      </w:tr>
      <w:tr>
        <w:trPr>
          <w:trHeight w:val="23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20,220</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20,220</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20,220</w:t>
            </w:r>
          </w:p>
        </w:tc>
      </w:tr>
      <w:tr>
        <w:trPr>
          <w:trHeight w:val="230"/>
        </w:trPr>
        <w:tc>
          <w:tcPr>
            <w:tcW w:w="5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10,212,532</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7,389,261</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2,907,867</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10,297,128</w:t>
            </w:r>
          </w:p>
        </w:tc>
      </w:tr>
      <w:tr>
        <w:trPr>
          <w:trHeight w:val="756"/>
        </w:trPr>
        <w:tc>
          <w:tcPr>
            <w:tcW w:w="520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52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16: Financial Instruments (cont’d)</w:t>
      </w:r>
    </w:p>
    <w:p>
      <w:pPr>
        <w:spacing w:after="0" w:line="229"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management objectives and policies (cont’d)</w:t>
      </w:r>
    </w:p>
    <w:p>
      <w:pPr>
        <w:spacing w:after="0" w:line="225"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jc w:val="both"/>
        <w:ind w:left="780"/>
        <w:spacing w:after="0" w:line="282" w:lineRule="auto"/>
        <w:rPr>
          <w:sz w:val="20"/>
          <w:szCs w:val="20"/>
          <w:color w:val="auto"/>
        </w:rPr>
      </w:pPr>
      <w:r>
        <w:rPr>
          <w:rFonts w:ascii="Times New Roman" w:cs="Times New Roman" w:eastAsia="Times New Roman" w:hAnsi="Times New Roman"/>
          <w:sz w:val="18"/>
          <w:szCs w:val="18"/>
          <w:color w:val="auto"/>
        </w:rPr>
        <w:t>The Company’s exposure to interest rate risk arises mainly from interest-bearing financial instruments, namely a loan from a related company. These instruments bear interest at fixed rates and, accordingly, the Company is not exposed to significant cash flow interest rate risk.</w:t>
      </w:r>
    </w:p>
    <w:p>
      <w:pPr>
        <w:spacing w:after="0" w:line="162" w:lineRule="exact"/>
        <w:rPr>
          <w:sz w:val="20"/>
          <w:szCs w:val="20"/>
          <w:color w:val="auto"/>
        </w:rPr>
      </w:pPr>
    </w:p>
    <w:p>
      <w:pPr>
        <w:jc w:val="both"/>
        <w:ind w:left="780"/>
        <w:spacing w:after="0" w:line="266" w:lineRule="auto"/>
        <w:rPr>
          <w:sz w:val="20"/>
          <w:szCs w:val="20"/>
          <w:color w:val="auto"/>
        </w:rPr>
      </w:pPr>
      <w:r>
        <w:rPr>
          <w:rFonts w:ascii="Times New Roman" w:cs="Times New Roman" w:eastAsia="Times New Roman" w:hAnsi="Times New Roman"/>
          <w:sz w:val="18"/>
          <w:szCs w:val="18"/>
          <w:color w:val="auto"/>
        </w:rPr>
        <w:t>As the Company does not account for its fixed rate financial instruments at fair value through profit or loss, any change in interest rates at the end of the reporting period would not affect its profit or loss (and equity). No disclosure of sensitivity analysis is presented as there is no floating rate instrument outstanding as at end of the financial year.</w:t>
      </w:r>
    </w:p>
    <w:p>
      <w:pPr>
        <w:spacing w:after="0" w:line="176"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financial instruments</w:t>
      </w:r>
    </w:p>
    <w:p>
      <w:pPr>
        <w:spacing w:after="0" w:line="225"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amounts of short-term receivables and payables and cash and cash equivalents approximate their fair value due to the relatively short-term nature of these financial instruments and insignificant impact of discounting.</w:t>
      </w:r>
    </w:p>
    <w:p>
      <w:pPr>
        <w:spacing w:after="0" w:line="161" w:lineRule="exact"/>
        <w:rPr>
          <w:rFonts w:ascii="Times New Roman" w:cs="Times New Roman" w:eastAsia="Times New Roman" w:hAnsi="Times New Roman"/>
          <w:sz w:val="18"/>
          <w:szCs w:val="18"/>
          <w:color w:val="auto"/>
        </w:rPr>
      </w:pPr>
    </w:p>
    <w:p>
      <w:pPr>
        <w:ind w:left="800" w:hanging="403"/>
        <w:spacing w:after="0"/>
        <w:tabs>
          <w:tab w:leader="none" w:pos="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transfer between levels</w:t>
      </w:r>
    </w:p>
    <w:p>
      <w:pPr>
        <w:spacing w:after="0" w:line="225" w:lineRule="exact"/>
        <w:rPr>
          <w:rFonts w:ascii="Times New Roman" w:cs="Times New Roman" w:eastAsia="Times New Roman" w:hAnsi="Times New Roman"/>
          <w:sz w:val="18"/>
          <w:szCs w:val="18"/>
          <w:color w:val="auto"/>
        </w:rPr>
      </w:pPr>
    </w:p>
    <w:p>
      <w:pPr>
        <w:ind w:left="7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an asset to be transferred between levels is determined as of the date of the event or change in circumstances that caused the transfer. There were no transfers between levels during current and previous financial period.</w:t>
      </w:r>
    </w:p>
    <w:p>
      <w:pPr>
        <w:spacing w:after="0" w:line="161" w:lineRule="exact"/>
        <w:rPr>
          <w:rFonts w:ascii="Times New Roman" w:cs="Times New Roman" w:eastAsia="Times New Roman" w:hAnsi="Times New Roman"/>
          <w:sz w:val="18"/>
          <w:szCs w:val="18"/>
          <w:color w:val="auto"/>
        </w:rPr>
      </w:pPr>
    </w:p>
    <w:p>
      <w:pPr>
        <w:ind w:left="760" w:hanging="363"/>
        <w:spacing w:after="0"/>
        <w:tabs>
          <w:tab w:leader="none" w:pos="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fair value</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fair value is derived from quoted prices (unadjusted) m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w:t>
      </w:r>
    </w:p>
    <w:p>
      <w:pPr>
        <w:spacing w:after="0" w:line="225" w:lineRule="exact"/>
        <w:rPr>
          <w:rFonts w:ascii="Times New Roman" w:cs="Times New Roman" w:eastAsia="Times New Roman" w:hAnsi="Times New Roman"/>
          <w:sz w:val="18"/>
          <w:szCs w:val="18"/>
          <w:color w:val="auto"/>
        </w:rPr>
      </w:pPr>
    </w:p>
    <w:p>
      <w:pPr>
        <w:ind w:lef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is estimated using inputs other than quoted prices included within Level I that are observable for the asset or liability, either directly (i.e. as prices) or indirectly (i.e. derived from prices).</w:t>
      </w:r>
    </w:p>
    <w:p>
      <w:pPr>
        <w:spacing w:after="0" w:line="161" w:lineRule="exact"/>
        <w:rPr>
          <w:rFonts w:ascii="Times New Roman" w:cs="Times New Roman" w:eastAsia="Times New Roman" w:hAnsi="Times New Roman"/>
          <w:sz w:val="18"/>
          <w:szCs w:val="18"/>
          <w:color w:val="auto"/>
        </w:rPr>
      </w:pPr>
    </w:p>
    <w:p>
      <w:pPr>
        <w:ind w:left="760" w:hanging="363"/>
        <w:spacing w:after="0"/>
        <w:tabs>
          <w:tab w:leader="none" w:pos="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values for the financial assets and liabilities are estimated using unobservable inputs.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17: Capital Management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in order to provide returns for shareholder and benefits for other stakeholders and to maintain an optimal capital structure to reduce the cost of capital.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maintain or adjust the capital structure, the Company may adjust the amounts of dividends paid to shareholder, return capital to shareholder, issue new shares or sell assets to reduce debt. The combining entities are not subject to any externally imposed capital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Company’s approach to capital management during the financial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Event After the Reporting Period</w:t>
      </w:r>
    </w:p>
    <w:p>
      <w:pPr>
        <w:spacing w:after="0" w:line="229" w:lineRule="exact"/>
        <w:rPr>
          <w:sz w:val="20"/>
          <w:szCs w:val="20"/>
          <w:color w:val="auto"/>
        </w:rPr>
      </w:pPr>
    </w:p>
    <w:p>
      <w:pPr>
        <w:ind w:left="380" w:hanging="372"/>
        <w:spacing w:after="0" w:line="28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20 January 2026, the Company acquired 100% interest in Gamee Limited, a fellow subsidiary as at 31 December 2025, from the immediate holding company Animoca Brands Limited at a total consideration of EUR 4,505,000.</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19 March 2026, the Company and AlphaTON Capital Corp, a specialized digital asset treasury company focused on building a strategic TON reserve and public markets access to the high-growth Telegram ecosystem executed a Sale and Purchase Agreement. Under the terms and conditions set out in the Sale and Purchase Agreement, AlphaTon Capital Corp will acquire a 60% equity interest in the Company and 51% of the GAMEE (GMEE) and Watcoin (WAT) tokens held in the Company’s treasury.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Date of Authorisation for Issue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for the year ended 31 December 2025, 31 December 2024 and 31 December 2023 were authorised for issuance by the Board of Directors on 15 May 2026, in accordance with the Statement by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Gamee Mobile s.r.o.</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Financial Statements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year ended 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1611630</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517525</wp:posOffset>
            </wp:positionV>
            <wp:extent cx="985520" cy="771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 and Directors of </w:t>
      </w:r>
      <w:r>
        <w:rPr>
          <w:rFonts w:ascii="Times New Roman" w:cs="Times New Roman" w:eastAsia="Times New Roman" w:hAnsi="Times New Roman"/>
          <w:sz w:val="18"/>
          <w:szCs w:val="18"/>
          <w:b w:val="1"/>
          <w:bCs w:val="1"/>
          <w:color w:val="auto"/>
        </w:rPr>
        <w:t>Gamee Mobile s.r.o.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of the Company: Gamee Mobile s.r.o.</w:t>
      </w:r>
    </w:p>
    <w:p>
      <w:pPr>
        <w:sectPr>
          <w:pgSz w:w="11900" w:h="16838" w:orient="portrait"/>
          <w:cols w:equalWidth="0" w:num="1">
            <w:col w:w="11160"/>
          </w:cols>
          <w:pgMar w:left="320" w:top="1440" w:right="4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29103746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Rašínovo nábřeží 71/10, 128 00 Prague 2, Czech Republic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281545, Trade Register Court Prague</w:t>
      </w:r>
    </w:p>
    <w:p>
      <w:pPr>
        <w:spacing w:after="0" w:line="200" w:lineRule="exact"/>
        <w:rPr>
          <w:sz w:val="20"/>
          <w:szCs w:val="20"/>
          <w:color w:val="auto"/>
        </w:rPr>
      </w:pPr>
    </w:p>
    <w:p>
      <w:pPr>
        <w:sectPr>
          <w:pgSz w:w="11900" w:h="16838" w:orient="portrait"/>
          <w:cols w:equalWidth="0" w:num="2">
            <w:col w:w="1340" w:space="140"/>
            <w:col w:w="9680"/>
          </w:cols>
          <w:pgMar w:left="320" w:top="1440" w:right="41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have audited the financial statements of Gamee Mobile s.r.o. ("the Company"), which comprise the balance sheet as of 31 December 2024, and the related statement of income, changes in stockholders' equity and cash flows for the year then ended, and the related notes to the financial statements.</w:t>
      </w:r>
    </w:p>
    <w:p>
      <w:pPr>
        <w:spacing w:after="0" w:line="39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31 December 2024, and the results of its operations and its cash flows for the year then ended in accordance with International Financial Reporting Standards („IFRS").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and in accordance with International Standards on Auditing (ISAs).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which include relevant ethical requirements in the United States of America and the International Ethics Standards Board for Accountants' Code of Ethics for Professional Accountants. We believe that the audit evidence we have obtained is sufficient and appropriate to provide a basis for our audit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and Those Charged with Governance for the Financial Statements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International Financial Reporting Standards, and for the design, implementation and maintenance of internal control relevant to the preparation and fair presentation of financial statements that are free from material misstatement, whether due to fraud or error.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TPA Audit s.r.o.</w:t>
      </w:r>
    </w:p>
    <w:p>
      <w:pPr>
        <w:spacing w:after="0" w:line="226" w:lineRule="auto"/>
        <w:rPr>
          <w:sz w:val="20"/>
          <w:szCs w:val="20"/>
          <w:color w:val="auto"/>
        </w:rPr>
      </w:pPr>
      <w:r>
        <w:rPr>
          <w:rFonts w:ascii="Times New Roman" w:cs="Times New Roman" w:eastAsia="Times New Roman" w:hAnsi="Times New Roman"/>
          <w:sz w:val="14"/>
          <w:szCs w:val="14"/>
          <w:color w:val="auto"/>
        </w:rPr>
        <w:t>140 00 Prague 4, Antala Staška 2027/79</w:t>
      </w:r>
    </w:p>
    <w:p>
      <w:pPr>
        <w:spacing w:after="0" w:line="222" w:lineRule="auto"/>
        <w:rPr>
          <w:sz w:val="20"/>
          <w:szCs w:val="20"/>
          <w:color w:val="auto"/>
        </w:rPr>
      </w:pPr>
      <w:r>
        <w:rPr>
          <w:rFonts w:ascii="Times New Roman" w:cs="Times New Roman" w:eastAsia="Times New Roman" w:hAnsi="Times New Roman"/>
          <w:sz w:val="14"/>
          <w:szCs w:val="14"/>
          <w:color w:val="auto"/>
        </w:rPr>
        <w:t>Tel.: +420 222 826 311, E-mail: audit@tpa-group.cz, www.tpa-group.cz</w:t>
      </w:r>
    </w:p>
    <w:p>
      <w:pPr>
        <w:spacing w:after="0" w:line="221" w:lineRule="auto"/>
        <w:rPr>
          <w:sz w:val="20"/>
          <w:szCs w:val="20"/>
          <w:color w:val="auto"/>
        </w:rPr>
      </w:pPr>
      <w:r>
        <w:rPr>
          <w:rFonts w:ascii="Times New Roman" w:cs="Times New Roman" w:eastAsia="Times New Roman" w:hAnsi="Times New Roman"/>
          <w:sz w:val="14"/>
          <w:szCs w:val="14"/>
          <w:color w:val="auto"/>
        </w:rPr>
        <w:t>Branches: 746 01 Opava, Veleslavinova 240/8, 703 00 Ostrava, Ruská 83/24</w:t>
      </w:r>
    </w:p>
    <w:p>
      <w:pPr>
        <w:spacing w:after="0" w:line="221" w:lineRule="auto"/>
        <w:rPr>
          <w:sz w:val="20"/>
          <w:szCs w:val="20"/>
          <w:color w:val="auto"/>
        </w:rPr>
      </w:pPr>
      <w:r>
        <w:rPr>
          <w:rFonts w:ascii="Times New Roman" w:cs="Times New Roman" w:eastAsia="Times New Roman" w:hAnsi="Times New Roman"/>
          <w:sz w:val="14"/>
          <w:szCs w:val="14"/>
          <w:color w:val="auto"/>
        </w:rPr>
        <w:t>ID: 60203480, Certificate no. 80 of the Chamber of Auditors of the Czech Republic,</w:t>
      </w:r>
    </w:p>
    <w:p>
      <w:pPr>
        <w:spacing w:after="0" w:line="222" w:lineRule="auto"/>
        <w:rPr>
          <w:sz w:val="20"/>
          <w:szCs w:val="20"/>
          <w:color w:val="auto"/>
        </w:rPr>
      </w:pPr>
      <w:r>
        <w:rPr>
          <w:rFonts w:ascii="Times New Roman" w:cs="Times New Roman" w:eastAsia="Times New Roman" w:hAnsi="Times New Roman"/>
          <w:sz w:val="14"/>
          <w:szCs w:val="14"/>
          <w:color w:val="auto"/>
        </w:rPr>
        <w:t>Municipal Court in Prague, file no. C.25463</w:t>
      </w:r>
    </w:p>
    <w:p>
      <w:pPr>
        <w:spacing w:after="0" w:line="221" w:lineRule="auto"/>
        <w:rPr>
          <w:sz w:val="20"/>
          <w:szCs w:val="20"/>
          <w:color w:val="auto"/>
        </w:rPr>
      </w:pPr>
      <w:r>
        <w:rPr>
          <w:rFonts w:ascii="Times New Roman" w:cs="Times New Roman" w:eastAsia="Times New Roman" w:hAnsi="Times New Roman"/>
          <w:sz w:val="14"/>
          <w:szCs w:val="14"/>
          <w:color w:val="auto"/>
        </w:rPr>
        <w:t>Albania | Austria | Bulgaria | Croatia | Czech Republic | Hungary</w:t>
      </w:r>
    </w:p>
    <w:p>
      <w:pPr>
        <w:spacing w:after="0"/>
        <w:rPr>
          <w:sz w:val="20"/>
          <w:szCs w:val="20"/>
          <w:color w:val="auto"/>
        </w:rPr>
      </w:pPr>
      <w:r>
        <w:rPr>
          <w:rFonts w:ascii="Times New Roman" w:cs="Times New Roman" w:eastAsia="Times New Roman" w:hAnsi="Times New Roman"/>
          <w:sz w:val="14"/>
          <w:szCs w:val="14"/>
          <w:color w:val="auto"/>
        </w:rPr>
        <w:t>Montenegro | Poland | Romania | Serbia | Slovakia | Slovenia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517525</wp:posOffset>
            </wp:positionV>
            <wp:extent cx="985520" cy="771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and Those Charged with Governance for the Financial Statements (continued)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a reasonable period of time; to disclose, as applicable, matters related to going concern; and to use the going concern basis of accounting unless management either intends to liquidate the Company or to cease operations, or has no realistic alternative but to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charged with governance are responsible for overseeing the Company's financial reporting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and ISAs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and ISAs, we:</w:t>
      </w:r>
    </w:p>
    <w:p>
      <w:pPr>
        <w:spacing w:after="0" w:line="225" w:lineRule="exact"/>
        <w:rPr>
          <w:sz w:val="20"/>
          <w:szCs w:val="20"/>
          <w:color w:val="auto"/>
        </w:rPr>
      </w:pPr>
    </w:p>
    <w:p>
      <w:pPr>
        <w:ind w:left="720" w:hanging="334"/>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52" w:lineRule="exact"/>
        <w:rPr>
          <w:rFonts w:ascii="Times New Roman" w:cs="Times New Roman" w:eastAsia="Times New Roman" w:hAnsi="Times New Roman"/>
          <w:sz w:val="18"/>
          <w:szCs w:val="18"/>
          <w:color w:val="auto"/>
        </w:rPr>
      </w:pPr>
    </w:p>
    <w:p>
      <w:pPr>
        <w:ind w:left="720" w:right="200" w:hanging="334"/>
        <w:spacing w:after="0" w:line="266"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02" w:lineRule="exact"/>
        <w:rPr>
          <w:rFonts w:ascii="Times New Roman" w:cs="Times New Roman" w:eastAsia="Times New Roman" w:hAnsi="Times New Roman"/>
          <w:sz w:val="18"/>
          <w:szCs w:val="18"/>
          <w:color w:val="auto"/>
        </w:rPr>
      </w:pPr>
    </w:p>
    <w:p>
      <w:pPr>
        <w:ind w:left="720" w:right="120" w:hanging="334"/>
        <w:spacing w:after="0" w:line="266"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2" w:lineRule="exact"/>
        <w:rPr>
          <w:rFonts w:ascii="Times New Roman" w:cs="Times New Roman" w:eastAsia="Times New Roman" w:hAnsi="Times New Roman"/>
          <w:sz w:val="18"/>
          <w:szCs w:val="18"/>
          <w:color w:val="auto"/>
        </w:rPr>
      </w:pPr>
    </w:p>
    <w:p>
      <w:pPr>
        <w:ind w:left="720" w:right="1560" w:hanging="334"/>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88" w:lineRule="exact"/>
        <w:rPr>
          <w:rFonts w:ascii="Times New Roman" w:cs="Times New Roman" w:eastAsia="Times New Roman" w:hAnsi="Times New Roman"/>
          <w:sz w:val="18"/>
          <w:szCs w:val="18"/>
          <w:color w:val="auto"/>
        </w:rPr>
      </w:pPr>
    </w:p>
    <w:p>
      <w:pPr>
        <w:ind w:left="720" w:right="980" w:hanging="334"/>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8" w:lineRule="exact"/>
        <w:rPr>
          <w:rFonts w:ascii="Times New Roman" w:cs="Times New Roman" w:eastAsia="Times New Roman" w:hAnsi="Times New Roman"/>
          <w:sz w:val="18"/>
          <w:szCs w:val="18"/>
          <w:color w:val="auto"/>
        </w:rPr>
      </w:pPr>
    </w:p>
    <w:p>
      <w:pPr>
        <w:ind w:left="720" w:right="840" w:hanging="334"/>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162" w:lineRule="exact"/>
        <w:rPr>
          <w:sz w:val="20"/>
          <w:szCs w:val="20"/>
          <w:color w:val="auto"/>
        </w:rPr>
      </w:pPr>
    </w:p>
    <w:p>
      <w:pPr>
        <w:spacing w:after="0"/>
        <w:tabs>
          <w:tab w:leader="none" w:pos="10280" w:val="left"/>
        </w:tabs>
        <w:rPr>
          <w:sz w:val="20"/>
          <w:szCs w:val="20"/>
          <w:color w:val="auto"/>
        </w:rPr>
      </w:pPr>
      <w:r>
        <w:rPr>
          <w:rFonts w:ascii="Times New Roman" w:cs="Times New Roman" w:eastAsia="Times New Roman" w:hAnsi="Times New Roman"/>
          <w:sz w:val="18"/>
          <w:szCs w:val="18"/>
          <w:color w:val="auto"/>
        </w:rPr>
        <w:t>TPA Audit s.r.o.</w:t>
      </w:r>
      <w:r>
        <w:rPr>
          <w:sz w:val="20"/>
          <w:szCs w:val="20"/>
          <w:color w:val="auto"/>
        </w:rPr>
        <w:tab/>
      </w:r>
      <w:r>
        <w:rPr>
          <w:rFonts w:ascii="Times New Roman" w:cs="Times New Roman" w:eastAsia="Times New Roman" w:hAnsi="Times New Roman"/>
          <w:sz w:val="17"/>
          <w:szCs w:val="17"/>
          <w:color w:val="auto"/>
        </w:rPr>
        <w:t>Stránka 2 z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517525</wp:posOffset>
            </wp:positionV>
            <wp:extent cx="985520" cy="771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 (continued)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Prague, Czech Republic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 Pavel Pražák</w:t>
            </w:r>
          </w:p>
        </w:tc>
        <w:tc>
          <w:tcPr>
            <w:tcW w:w="7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 TPA Audit s.r.o.</w:t>
            </w: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Auditor:</w:t>
            </w:r>
          </w:p>
        </w:tc>
        <w:tc>
          <w:tcPr>
            <w:tcW w:w="7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TPA Audit s.r.o.</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Pavel Pražák</w:t>
            </w:r>
          </w:p>
        </w:tc>
        <w:tc>
          <w:tcPr>
            <w:tcW w:w="7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Antala Staška 2027/79, Praha 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No. 1968 KAČR</w:t>
            </w:r>
          </w:p>
        </w:tc>
        <w:tc>
          <w:tcPr>
            <w:tcW w:w="7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Certificate No. 080 KAČR</w:t>
            </w:r>
          </w:p>
        </w:tc>
      </w:tr>
      <w:tr>
        <w:trPr>
          <w:trHeight w:val="1566"/>
        </w:trPr>
        <w:tc>
          <w:tcPr>
            <w:tcW w:w="38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68"/>
        </w:trPr>
        <w:tc>
          <w:tcPr>
            <w:tcW w:w="3820" w:type="dxa"/>
            <w:vAlign w:val="bottom"/>
            <w:shd w:val="clear" w:color="auto" w:fill="000000"/>
          </w:tcPr>
          <w:p>
            <w:pPr>
              <w:spacing w:after="0"/>
              <w:rPr>
                <w:sz w:val="5"/>
                <w:szCs w:val="5"/>
                <w:color w:val="auto"/>
              </w:rPr>
            </w:pPr>
          </w:p>
        </w:tc>
        <w:tc>
          <w:tcPr>
            <w:tcW w:w="74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w:t>
            </w:r>
          </w:p>
        </w:tc>
        <w:tc>
          <w:tcPr>
            <w:tcW w:w="2940" w:type="dxa"/>
            <w:vAlign w:val="bottom"/>
            <w:vMerge w:val="restart"/>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294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294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73 891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73 810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2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9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73 891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74 607</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provided services</w:t>
            </w:r>
          </w:p>
        </w:tc>
        <w:tc>
          <w:tcPr>
            <w:tcW w:w="29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88"/>
              </w:rPr>
              <w:t>4</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59 666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61 301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costs</w:t>
            </w:r>
          </w:p>
        </w:tc>
        <w:tc>
          <w:tcPr>
            <w:tcW w:w="294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4</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8 957</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7 400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294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88"/>
              </w:rPr>
              <w:t>4</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1 773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1 842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result</w:t>
            </w:r>
          </w:p>
        </w:tc>
        <w:tc>
          <w:tcPr>
            <w:tcW w:w="29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3 495</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4 064</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4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947</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 – net (cost (+) / income (-))</w:t>
            </w:r>
          </w:p>
        </w:tc>
        <w:tc>
          <w:tcPr>
            <w:tcW w:w="294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88"/>
              </w:rPr>
              <w:t>5</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5 393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1 279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29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6 266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or loss before tax</w:t>
            </w:r>
          </w:p>
        </w:tc>
        <w:tc>
          <w:tcPr>
            <w:tcW w:w="2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9 761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3 575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2940" w:type="dxa"/>
            <w:vAlign w:val="bottom"/>
            <w:tcBorders>
              <w:bottom w:val="single" w:sz="8" w:color="auto"/>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6</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726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1 723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result after tax</w:t>
            </w:r>
          </w:p>
        </w:tc>
        <w:tc>
          <w:tcPr>
            <w:tcW w:w="2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9 035</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5 298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Profit for the year and total comprehensive income</w:t>
            </w:r>
          </w:p>
        </w:tc>
        <w:tc>
          <w:tcPr>
            <w:tcW w:w="29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9 035</w:t>
            </w:r>
          </w:p>
        </w:tc>
        <w:tc>
          <w:tcPr>
            <w:tcW w:w="960" w:type="dxa"/>
            <w:vAlign w:val="bottom"/>
            <w:tcBorders>
              <w:bottom w:val="single" w:sz="8" w:color="auto"/>
            </w:tcBorders>
            <w:shd w:val="clear" w:color="auto" w:fill="CCEEFF"/>
          </w:tcPr>
          <w:p>
            <w:pPr>
              <w:jc w:val="right"/>
              <w:ind w:right="10"/>
              <w:spacing w:after="0" w:line="156" w:lineRule="exact"/>
              <w:rPr>
                <w:sz w:val="20"/>
                <w:szCs w:val="20"/>
                <w:color w:val="auto"/>
              </w:rPr>
            </w:pPr>
            <w:r>
              <w:rPr>
                <w:rFonts w:ascii="Times New Roman" w:cs="Times New Roman" w:eastAsia="Times New Roman" w:hAnsi="Times New Roman"/>
                <w:sz w:val="18"/>
                <w:szCs w:val="18"/>
                <w:b w:val="1"/>
                <w:bCs w:val="1"/>
                <w:color w:val="auto"/>
              </w:rPr>
              <w:t>5 298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31 December</w:t>
            </w:r>
          </w:p>
        </w:tc>
        <w:tc>
          <w:tcPr>
            <w:tcW w:w="3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35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31.12.2024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31.12.2023</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31.12.2022</w:t>
            </w: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69 414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63 174</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62 934</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3 462</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4 910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3 795</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50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72 876</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68 084</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66 729</w:t>
            </w:r>
          </w:p>
        </w:tc>
      </w:tr>
      <w:tr>
        <w:trPr>
          <w:trHeight w:val="216"/>
        </w:trPr>
        <w:tc>
          <w:tcPr>
            <w:tcW w:w="40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500" w:type="dxa"/>
            <w:vAlign w:val="bottom"/>
            <w:shd w:val="clear" w:color="auto" w:fill="CCEEFF"/>
          </w:tcPr>
          <w:p>
            <w:pPr>
              <w:jc w:val="center"/>
              <w:ind w:left="231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12 733</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17 838</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16 292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3 201</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1 937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1 558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w:t>
            </w:r>
          </w:p>
        </w:tc>
        <w:tc>
          <w:tcPr>
            <w:tcW w:w="3500" w:type="dxa"/>
            <w:vAlign w:val="bottom"/>
            <w:shd w:val="clear" w:color="auto" w:fill="CCEEFF"/>
          </w:tcPr>
          <w:p>
            <w:pPr>
              <w:jc w:val="center"/>
              <w:ind w:left="231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16 970</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8 207</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7 482</w:t>
            </w:r>
          </w:p>
        </w:tc>
      </w:tr>
      <w:tr>
        <w:trPr>
          <w:trHeight w:val="22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32 904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27 982</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25 332</w:t>
            </w: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105 780</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96 066</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92 061</w:t>
            </w:r>
          </w:p>
        </w:tc>
      </w:tr>
      <w:tr>
        <w:trPr>
          <w:trHeight w:val="46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35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31.12.2024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31.12.2023</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31.12.2022</w:t>
            </w: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471</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funds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118 063</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118 063</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118 063</w:t>
            </w:r>
          </w:p>
        </w:tc>
      </w:tr>
      <w:tr>
        <w:trPr>
          <w:trHeight w:val="22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(33 386)</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(42 389)</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48 007</w:t>
            </w: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85 148</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76 145</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70 527</w:t>
            </w:r>
          </w:p>
        </w:tc>
      </w:tr>
      <w:tr>
        <w:trPr>
          <w:trHeight w:val="210"/>
        </w:trPr>
        <w:tc>
          <w:tcPr>
            <w:tcW w:w="40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 -term</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1 069</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1 881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2 634</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1 069</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1 881</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2 634</w:t>
            </w:r>
          </w:p>
        </w:tc>
      </w:tr>
      <w:tr>
        <w:trPr>
          <w:trHeight w:val="216"/>
        </w:trPr>
        <w:tc>
          <w:tcPr>
            <w:tcW w:w="40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Advances received</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12 278</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11 303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11 361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4 497</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4 327</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5 732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short-term</w:t>
            </w:r>
          </w:p>
        </w:tc>
        <w:tc>
          <w:tcPr>
            <w:tcW w:w="35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782</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2 006</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1 658</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1 055</w:t>
            </w:r>
          </w:p>
        </w:tc>
      </w:tr>
      <w:tr>
        <w:trPr>
          <w:trHeight w:val="230"/>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00" w:type="dxa"/>
            <w:vAlign w:val="bottom"/>
            <w:tcBorders>
              <w:bottom w:val="single" w:sz="8" w:color="auto"/>
            </w:tcBorders>
          </w:tcPr>
          <w:p>
            <w:pPr>
              <w:jc w:val="center"/>
              <w:ind w:left="2310"/>
              <w:spacing w:after="0"/>
              <w:rPr>
                <w:sz w:val="20"/>
                <w:szCs w:val="20"/>
                <w:color w:val="auto"/>
              </w:rPr>
            </w:pPr>
            <w:r>
              <w:rPr>
                <w:rFonts w:ascii="Times New Roman" w:cs="Times New Roman" w:eastAsia="Times New Roman" w:hAnsi="Times New Roman"/>
                <w:sz w:val="18"/>
                <w:szCs w:val="18"/>
                <w:color w:val="auto"/>
                <w:w w:val="99"/>
              </w:rPr>
              <w:t>11</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19 563</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18 070</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18 900</w:t>
            </w: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20 683</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20 004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21 534</w:t>
            </w:r>
          </w:p>
        </w:tc>
      </w:tr>
      <w:tr>
        <w:trPr>
          <w:trHeight w:val="22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105 780</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96 066</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92 061</w:t>
            </w:r>
          </w:p>
        </w:tc>
      </w:tr>
      <w:tr>
        <w:trPr>
          <w:trHeight w:val="533"/>
        </w:trPr>
        <w:tc>
          <w:tcPr>
            <w:tcW w:w="4040" w:type="dxa"/>
            <w:vAlign w:val="bottom"/>
          </w:tcPr>
          <w:p>
            <w:pPr>
              <w:spacing w:after="0"/>
              <w:rPr>
                <w:sz w:val="24"/>
                <w:szCs w:val="24"/>
                <w:color w:val="auto"/>
              </w:rPr>
            </w:pPr>
          </w:p>
        </w:tc>
        <w:tc>
          <w:tcPr>
            <w:tcW w:w="35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4040" w:type="dxa"/>
            <w:vAlign w:val="bottom"/>
            <w:shd w:val="clear" w:color="auto" w:fill="000000"/>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w:t>
            </w:r>
          </w:p>
        </w:tc>
        <w:tc>
          <w:tcPr>
            <w:tcW w:w="3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5"/>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3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3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9 761</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3 575</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w:t>
            </w:r>
          </w:p>
        </w:tc>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3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(947)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Unrealised FX gains on translation of loan to mother company</w:t>
            </w:r>
          </w:p>
        </w:tc>
        <w:tc>
          <w:tcPr>
            <w:tcW w:w="3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(6 240)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Change in receivables</w:t>
            </w:r>
          </w:p>
        </w:tc>
        <w:tc>
          <w:tcPr>
            <w:tcW w:w="3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4 471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(6 528)</w:t>
            </w:r>
          </w:p>
        </w:tc>
      </w:tr>
      <w:tr>
        <w:trPr>
          <w:trHeight w:val="229"/>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liabilities</w:t>
            </w:r>
          </w:p>
        </w:tc>
        <w:tc>
          <w:tcPr>
            <w:tcW w:w="3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711</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3 669</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tc>
        <w:tc>
          <w:tcPr>
            <w:tcW w:w="3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7 816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8 763</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725</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8 207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7 482</w:t>
            </w:r>
          </w:p>
        </w:tc>
      </w:tr>
      <w:tr>
        <w:trPr>
          <w:trHeight w:val="230"/>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16 970</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8 207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16"/>
        </w:trPr>
        <w:tc>
          <w:tcPr>
            <w:tcW w:w="6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13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profit / (loss)</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3"/>
        </w:trPr>
        <w:tc>
          <w:tcPr>
            <w:tcW w:w="6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1 January 2023</w:t>
            </w:r>
          </w:p>
        </w:tc>
        <w:tc>
          <w:tcPr>
            <w:tcW w:w="12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(47 687)</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70 847</w:t>
            </w:r>
          </w:p>
        </w:tc>
      </w:tr>
      <w:tr>
        <w:trPr>
          <w:trHeight w:val="223"/>
        </w:trPr>
        <w:tc>
          <w:tcPr>
            <w:tcW w:w="6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Profit for the year</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5 298</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5 298</w:t>
            </w:r>
          </w:p>
        </w:tc>
      </w:tr>
      <w:tr>
        <w:trPr>
          <w:trHeight w:val="223"/>
        </w:trPr>
        <w:tc>
          <w:tcPr>
            <w:tcW w:w="6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2023</w:t>
            </w:r>
          </w:p>
        </w:tc>
        <w:tc>
          <w:tcPr>
            <w:tcW w:w="12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(42 389)</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76 145</w:t>
            </w:r>
          </w:p>
        </w:tc>
      </w:tr>
      <w:tr>
        <w:trPr>
          <w:trHeight w:val="223"/>
        </w:trPr>
        <w:tc>
          <w:tcPr>
            <w:tcW w:w="6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Profit for the year</w:t>
            </w:r>
          </w:p>
        </w:tc>
        <w:tc>
          <w:tcPr>
            <w:tcW w:w="12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9 035</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9 035</w:t>
            </w:r>
          </w:p>
        </w:tc>
      </w:tr>
      <w:tr>
        <w:trPr>
          <w:trHeight w:val="229"/>
        </w:trPr>
        <w:tc>
          <w:tcPr>
            <w:tcW w:w="6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2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2024</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(33 386)</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85 148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ind w:left="400" w:right="7900" w:hanging="392"/>
        <w:spacing w:after="0" w:line="532" w:lineRule="auto"/>
        <w:tabs>
          <w:tab w:leader="none" w:pos="686"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INFORMATION 1.1 Description of the company</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Gamee Mobile s.r.o. (hereinafter referred to as the</w:t>
      </w:r>
    </w:p>
    <w:p>
      <w:pPr>
        <w:spacing w:after="0" w:line="27"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Identification number:</w:t>
      </w:r>
      <w:r>
        <w:rPr>
          <w:sz w:val="20"/>
          <w:szCs w:val="20"/>
          <w:color w:val="auto"/>
        </w:rPr>
        <w:tab/>
      </w:r>
      <w:r>
        <w:rPr>
          <w:rFonts w:ascii="Times New Roman" w:cs="Times New Roman" w:eastAsia="Times New Roman" w:hAnsi="Times New Roman"/>
          <w:sz w:val="18"/>
          <w:szCs w:val="18"/>
          <w:color w:val="auto"/>
        </w:rPr>
        <w:t>29103746</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 Company was registered into commercial register on 8</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Date of Establishment:</w:t>
      </w:r>
      <w:r>
        <w:rPr>
          <w:sz w:val="20"/>
          <w:szCs w:val="20"/>
          <w:color w:val="auto"/>
        </w:rPr>
        <w:tab/>
      </w:r>
      <w:r>
        <w:rPr>
          <w:rFonts w:ascii="Times New Roman" w:cs="Times New Roman" w:eastAsia="Times New Roman" w:hAnsi="Times New Roman"/>
          <w:sz w:val="18"/>
          <w:szCs w:val="18"/>
          <w:color w:val="auto"/>
        </w:rPr>
        <w:t>July 2010</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Registered Office:</w:t>
      </w:r>
      <w:r>
        <w:rPr>
          <w:sz w:val="20"/>
          <w:szCs w:val="20"/>
          <w:color w:val="auto"/>
        </w:rPr>
        <w:tab/>
      </w:r>
      <w:r>
        <w:rPr>
          <w:rFonts w:ascii="Times New Roman" w:cs="Times New Roman" w:eastAsia="Times New Roman" w:hAnsi="Times New Roman"/>
          <w:sz w:val="17"/>
          <w:szCs w:val="17"/>
          <w:color w:val="auto"/>
        </w:rPr>
        <w:t>Rašínovo nábřeží 71/10, Vyšehrad, 128 00 Praha 2</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Legal form:</w:t>
      </w:r>
      <w:r>
        <w:rPr>
          <w:sz w:val="20"/>
          <w:szCs w:val="20"/>
          <w:color w:val="auto"/>
        </w:rPr>
        <w:tab/>
      </w:r>
      <w:r>
        <w:rPr>
          <w:rFonts w:ascii="Times New Roman" w:cs="Times New Roman" w:eastAsia="Times New Roman" w:hAnsi="Times New Roman"/>
          <w:sz w:val="17"/>
          <w:szCs w:val="17"/>
          <w:color w:val="auto"/>
        </w:rPr>
        <w:t>Limited liability company</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Subject of business:</w:t>
      </w:r>
      <w:r>
        <w:rPr>
          <w:sz w:val="20"/>
          <w:szCs w:val="20"/>
          <w:color w:val="auto"/>
        </w:rPr>
        <w:tab/>
      </w:r>
      <w:r>
        <w:rPr>
          <w:rFonts w:ascii="Times New Roman" w:cs="Times New Roman" w:eastAsia="Times New Roman" w:hAnsi="Times New Roman"/>
          <w:sz w:val="18"/>
          <w:szCs w:val="18"/>
          <w:color w:val="auto"/>
        </w:rPr>
        <w:t>Providing IT development services.</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Country of incorporation:</w:t>
      </w:r>
      <w:r>
        <w:rPr>
          <w:sz w:val="20"/>
          <w:szCs w:val="20"/>
          <w:color w:val="auto"/>
        </w:rPr>
        <w:tab/>
      </w:r>
      <w:r>
        <w:rPr>
          <w:rFonts w:ascii="Times New Roman" w:cs="Times New Roman" w:eastAsia="Times New Roman" w:hAnsi="Times New Roman"/>
          <w:sz w:val="17"/>
          <w:szCs w:val="17"/>
          <w:color w:val="auto"/>
        </w:rPr>
        <w:t>Czech Republic</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Accounting period:</w:t>
      </w:r>
      <w:r>
        <w:rPr>
          <w:sz w:val="20"/>
          <w:szCs w:val="20"/>
          <w:color w:val="auto"/>
        </w:rPr>
        <w:tab/>
      </w:r>
      <w:r>
        <w:rPr>
          <w:rFonts w:ascii="Times New Roman" w:cs="Times New Roman" w:eastAsia="Times New Roman" w:hAnsi="Times New Roman"/>
          <w:sz w:val="18"/>
          <w:szCs w:val="18"/>
          <w:color w:val="auto"/>
        </w:rPr>
        <w:t>1 January 2024 – 31 December 2024</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Trade Register File Nr: Section C 281545, entry of the Commercial Register kept by the Regional Court in Prague</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1.2 Members of the statutory bodies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Statutory Director during both the current and comparative periods (2024 and 2023) was Robert William Hong-San Yung.</w:t>
      </w:r>
    </w:p>
    <w:p>
      <w:pPr>
        <w:spacing w:after="0" w:line="225" w:lineRule="exact"/>
        <w:rPr>
          <w:sz w:val="20"/>
          <w:szCs w:val="20"/>
          <w:color w:val="auto"/>
        </w:rPr>
      </w:pPr>
    </w:p>
    <w:p>
      <w:pPr>
        <w:ind w:left="720" w:right="680"/>
        <w:spacing w:after="0" w:line="282" w:lineRule="auto"/>
        <w:rPr>
          <w:sz w:val="20"/>
          <w:szCs w:val="20"/>
          <w:color w:val="auto"/>
        </w:rPr>
      </w:pPr>
      <w:r>
        <w:rPr>
          <w:rFonts w:ascii="Times New Roman" w:cs="Times New Roman" w:eastAsia="Times New Roman" w:hAnsi="Times New Roman"/>
          <w:sz w:val="18"/>
          <w:szCs w:val="18"/>
          <w:color w:val="auto"/>
        </w:rPr>
        <w:t>Božena Řežábová was proxy holder in 2023 and until 18 September 2024, Martin Žákovec is proxy holder starting from 18 September 2024.</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1.3 Employees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both 2024 and 2023, the Company had 3 employees (average FTE).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STATEMENT OF COMPLIANCE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attached financial statements of the Company were prepared in accordance with International Financial Reporting Standards (IFRS).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accounting period for 2024 is the period of twelve months from 1 January 2024 to 31 December 2024.</w:t>
      </w:r>
    </w:p>
    <w:p>
      <w:pPr>
        <w:spacing w:after="0" w:line="225"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These financial statements have been prepared under historical cost convention. These IFRS financial statements are presented in thousands of CZK (rounded using generally accepted methods), unless stated otherwise.</w:t>
      </w:r>
    </w:p>
    <w:p>
      <w:pPr>
        <w:spacing w:after="0" w:line="162"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Company's management, when preparing the financial statements, considered the going concern assumption. They concluded that the going concern assumption is not jeopardized. Therefore, the financial statements as of 31 December 2024 and for the year ended, were prepared on the basis that the Company will continue to operate as a going concern.</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CHANGES IN ACCOUNTING POLICIES AND DISCLOSURES</w:t>
      </w:r>
    </w:p>
    <w:p>
      <w:pPr>
        <w:spacing w:after="0" w:line="229"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The Company has adopted the following revised IFRSs, which are applicable to the Company for the first time in the current year’s financial statements.</w:t>
      </w:r>
    </w:p>
    <w:p>
      <w:pPr>
        <w:spacing w:after="0" w:line="160"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IFRS 16</w:t>
      </w:r>
      <w:r>
        <w:rPr>
          <w:sz w:val="20"/>
          <w:szCs w:val="20"/>
          <w:color w:val="auto"/>
        </w:rPr>
        <w:tab/>
      </w:r>
      <w:r>
        <w:rPr>
          <w:rFonts w:ascii="Times New Roman" w:cs="Times New Roman" w:eastAsia="Times New Roman" w:hAnsi="Times New Roman"/>
          <w:sz w:val="17"/>
          <w:szCs w:val="17"/>
          <w:i w:val="1"/>
          <w:iCs w:val="1"/>
          <w:color w:val="auto"/>
        </w:rPr>
        <w:t>Lease Liability in a Sale and Leaseback</w:t>
      </w:r>
    </w:p>
    <w:p>
      <w:pPr>
        <w:spacing w:after="0" w:line="29"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IAS 1</w:t>
      </w:r>
      <w:r>
        <w:rPr>
          <w:sz w:val="20"/>
          <w:szCs w:val="20"/>
          <w:color w:val="auto"/>
        </w:rPr>
        <w:tab/>
      </w:r>
      <w:r>
        <w:rPr>
          <w:rFonts w:ascii="Times New Roman" w:cs="Times New Roman" w:eastAsia="Times New Roman" w:hAnsi="Times New Roman"/>
          <w:sz w:val="17"/>
          <w:szCs w:val="17"/>
          <w:i w:val="1"/>
          <w:iCs w:val="1"/>
          <w:color w:val="auto"/>
        </w:rPr>
        <w:t xml:space="preserve">Classification of Liabilities as Current or Non-current </w:t>
      </w:r>
      <w:r>
        <w:rPr>
          <w:rFonts w:ascii="Times New Roman" w:cs="Times New Roman" w:eastAsia="Times New Roman" w:hAnsi="Times New Roman"/>
          <w:sz w:val="17"/>
          <w:szCs w:val="17"/>
          <w:color w:val="auto"/>
        </w:rPr>
        <w:t>(the “2020 Amendments”)</w:t>
      </w:r>
    </w:p>
    <w:p>
      <w:pPr>
        <w:spacing w:after="0" w:line="9"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IAS 1</w:t>
      </w:r>
      <w:r>
        <w:rPr>
          <w:sz w:val="20"/>
          <w:szCs w:val="20"/>
          <w:color w:val="auto"/>
        </w:rPr>
        <w:tab/>
      </w:r>
      <w:r>
        <w:rPr>
          <w:rFonts w:ascii="Times New Roman" w:cs="Times New Roman" w:eastAsia="Times New Roman" w:hAnsi="Times New Roman"/>
          <w:sz w:val="17"/>
          <w:szCs w:val="17"/>
          <w:i w:val="1"/>
          <w:iCs w:val="1"/>
          <w:color w:val="auto"/>
        </w:rPr>
        <w:t xml:space="preserve">Non-current Liabilities with Covenants </w:t>
      </w:r>
      <w:r>
        <w:rPr>
          <w:rFonts w:ascii="Times New Roman" w:cs="Times New Roman" w:eastAsia="Times New Roman" w:hAnsi="Times New Roman"/>
          <w:sz w:val="17"/>
          <w:szCs w:val="17"/>
          <w:color w:val="auto"/>
        </w:rPr>
        <w:t>(the “2022 Amendments”)</w:t>
      </w:r>
    </w:p>
    <w:p>
      <w:pPr>
        <w:spacing w:after="0" w:line="207"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18"/>
          <w:szCs w:val="18"/>
          <w:color w:val="auto"/>
        </w:rPr>
        <w:t>Amendments to IFRS 16 specify the requirements that a seller-lessee uses in measuring the lease liability arising in a sale and leaseback transaction to ensure the seller-lessee does not recognise any amount of the gain or loss that relates to the right of use it retains. Since the Company has no sale and leaseback transactions with variable lease payments that do not depend on an index or a rate occurring from the date of initial application of IFRS 16, the amendments did not have any impact on the financial position or performance of the Company.</w:t>
      </w:r>
    </w:p>
    <w:p>
      <w:pPr>
        <w:spacing w:after="0" w:line="180"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w:t>
      </w:r>
    </w:p>
    <w:p>
      <w:pPr>
        <w:spacing w:after="0" w:line="18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has reassessed the terms and conditions of its liabilities as at 1 January 2023 and 2024 and concluded that the classification of its liabilities as current or non-current remained unchanged upon initial application of the amendments. Accordingly, the amendments did not have any impact on the financial position or performance of the Company.</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ISSUED BUT NOT YET EFFECTIVE INTERNATIONAL FINANCIAL REPORTING STANDARDS</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has not early applied the revised IFRSs that have been issued but are not yet effective for the accounting year ended 31 December 2024 in these financial statements. Among these new and revised IFRSs, the following are expected to be relevant to the Company’s financial statements upon becoming effective:</w:t>
      </w:r>
    </w:p>
    <w:p>
      <w:pPr>
        <w:spacing w:after="0" w:line="101" w:lineRule="exact"/>
        <w:rPr>
          <w:sz w:val="20"/>
          <w:szCs w:val="20"/>
          <w:color w:val="auto"/>
        </w:rPr>
      </w:pPr>
    </w:p>
    <w:tbl>
      <w:tblPr>
        <w:tblLayout w:type="fixed"/>
        <w:tblInd w:w="720" w:type="dxa"/>
        <w:tblCellMar>
          <w:top w:w="0" w:type="dxa"/>
          <w:left w:w="0" w:type="dxa"/>
          <w:bottom w:w="0" w:type="dxa"/>
          <w:right w:w="0" w:type="dxa"/>
        </w:tblCellMar>
      </w:tblPr>
      <w:tr>
        <w:trPr>
          <w:trHeight w:val="33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IFRS 18</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Presentation and Disclosure in Financial Statement</w:t>
            </w:r>
            <w:r>
              <w:rPr>
                <w:rFonts w:ascii="Times New Roman" w:cs="Times New Roman" w:eastAsia="Times New Roman" w:hAnsi="Times New Roman"/>
                <w:sz w:val="29"/>
                <w:szCs w:val="29"/>
                <w:i w:val="1"/>
                <w:iCs w:val="1"/>
                <w:color w:val="auto"/>
                <w:vertAlign w:val="superscript"/>
              </w:rPr>
              <w:t>2</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IFRS 19</w:t>
            </w:r>
          </w:p>
        </w:tc>
        <w:tc>
          <w:tcPr>
            <w:tcW w:w="4780" w:type="dxa"/>
            <w:vAlign w:val="bottom"/>
          </w:tcPr>
          <w:p>
            <w:pPr>
              <w:ind w:left="100"/>
              <w:spacing w:after="0" w:line="252" w:lineRule="exact"/>
              <w:rPr>
                <w:sz w:val="20"/>
                <w:szCs w:val="20"/>
                <w:color w:val="auto"/>
              </w:rPr>
            </w:pPr>
            <w:r>
              <w:rPr>
                <w:rFonts w:ascii="Times New Roman" w:cs="Times New Roman" w:eastAsia="Times New Roman" w:hAnsi="Times New Roman"/>
                <w:sz w:val="18"/>
                <w:szCs w:val="18"/>
                <w:i w:val="1"/>
                <w:iCs w:val="1"/>
                <w:color w:val="auto"/>
              </w:rPr>
              <w:t>Subsidiaries without Public Accountability: Disclosures</w:t>
            </w:r>
            <w:r>
              <w:rPr>
                <w:rFonts w:ascii="Times New Roman" w:cs="Times New Roman" w:eastAsia="Times New Roman" w:hAnsi="Times New Roman"/>
                <w:sz w:val="29"/>
                <w:szCs w:val="29"/>
                <w:i w:val="1"/>
                <w:iCs w:val="1"/>
                <w:color w:val="auto"/>
                <w:vertAlign w:val="superscript"/>
              </w:rPr>
              <w:t>2</w:t>
            </w:r>
          </w:p>
        </w:tc>
        <w:tc>
          <w:tcPr>
            <w:tcW w:w="0" w:type="dxa"/>
            <w:vAlign w:val="bottom"/>
          </w:tcPr>
          <w:p>
            <w:pPr>
              <w:spacing w:after="0"/>
              <w:rPr>
                <w:sz w:val="1"/>
                <w:szCs w:val="1"/>
                <w:color w:val="auto"/>
              </w:rPr>
            </w:pPr>
          </w:p>
        </w:tc>
      </w:tr>
      <w:tr>
        <w:trPr>
          <w:trHeight w:val="220"/>
        </w:trPr>
        <w:tc>
          <w:tcPr>
            <w:tcW w:w="492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99"/>
              </w:rPr>
              <w:t>Amendments to the Classification and Measurement of Financial</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4780" w:type="dxa"/>
            <w:vAlign w:val="bottom"/>
          </w:tcPr>
          <w:p>
            <w:pPr>
              <w:ind w:left="100"/>
              <w:spacing w:after="0" w:line="252" w:lineRule="exact"/>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29"/>
                <w:szCs w:val="29"/>
                <w:i w:val="1"/>
                <w:iCs w:val="1"/>
                <w:color w:val="auto"/>
                <w:vertAlign w:val="superscript"/>
              </w:rPr>
              <w:t>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improvements to IFRS Accounting and Standards – Volume</w:t>
            </w:r>
          </w:p>
        </w:tc>
        <w:tc>
          <w:tcPr>
            <w:tcW w:w="4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i w:val="1"/>
                <w:iCs w:val="1"/>
                <w:color w:val="auto"/>
              </w:rPr>
              <w:t>Amendments to IFRS 1, IFRS 7, IFRS 9, IFRS 10 IAS 7</w:t>
            </w:r>
            <w:r>
              <w:rPr>
                <w:rFonts w:ascii="Times New Roman" w:cs="Times New Roman" w:eastAsia="Times New Roman" w:hAnsi="Times New Roman"/>
                <w:sz w:val="29"/>
                <w:szCs w:val="29"/>
                <w:i w:val="1"/>
                <w:iCs w:val="1"/>
                <w:color w:val="auto"/>
                <w:vertAlign w:val="superscript"/>
              </w:rPr>
              <w:t>1</w:t>
            </w:r>
          </w:p>
        </w:tc>
        <w:tc>
          <w:tcPr>
            <w:tcW w:w="0" w:type="dxa"/>
            <w:vAlign w:val="bottom"/>
          </w:tcPr>
          <w:p>
            <w:pPr>
              <w:spacing w:after="0"/>
              <w:rPr>
                <w:sz w:val="1"/>
                <w:szCs w:val="1"/>
                <w:color w:val="auto"/>
              </w:rPr>
            </w:pPr>
          </w:p>
        </w:tc>
      </w:tr>
      <w:tr>
        <w:trPr>
          <w:trHeight w:val="359"/>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11</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40" w:hanging="119"/>
        <w:spacing w:after="0"/>
        <w:tabs>
          <w:tab w:leader="none" w:pos="84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for annual periods beginning on or after 1 January 2026</w:t>
      </w:r>
    </w:p>
    <w:p>
      <w:pPr>
        <w:ind w:left="840" w:hanging="119"/>
        <w:spacing w:after="0" w:line="184" w:lineRule="auto"/>
        <w:tabs>
          <w:tab w:leader="none" w:pos="84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Effective for annual/reporting periods beginning on or after 1 January 2027</w:t>
      </w:r>
    </w:p>
    <w:p>
      <w:pPr>
        <w:spacing w:after="0" w:line="198" w:lineRule="exact"/>
        <w:rPr>
          <w:sz w:val="20"/>
          <w:szCs w:val="20"/>
          <w:color w:val="auto"/>
        </w:rPr>
      </w:pPr>
    </w:p>
    <w:p>
      <w:pPr>
        <w:jc w:val="both"/>
        <w:ind w:left="720" w:right="140"/>
        <w:spacing w:after="0" w:line="256" w:lineRule="auto"/>
        <w:rPr>
          <w:sz w:val="20"/>
          <w:szCs w:val="20"/>
          <w:color w:val="auto"/>
        </w:rPr>
      </w:pPr>
      <w:r>
        <w:rPr>
          <w:rFonts w:ascii="Times New Roman" w:cs="Times New Roman" w:eastAsia="Times New Roman" w:hAnsi="Times New Roman"/>
          <w:sz w:val="18"/>
          <w:szCs w:val="18"/>
          <w:color w:val="auto"/>
        </w:rPr>
        <w:t>IFRS 18 replaces IAS 1 Presentation of Financial Statements. While a number of sections have been brought forward from IAS 1 with limited changes, IFRS 18 introduces new requirements for presentation within the statement of profit or loss, including specified totals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ISSUED BUT NOT YET EFFECTIVE INTERNATIONAL FINANCIAL REPORTING STANDARDS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780"/>
        <w:spacing w:after="0" w:line="256" w:lineRule="auto"/>
        <w:rPr>
          <w:sz w:val="20"/>
          <w:szCs w:val="20"/>
          <w:color w:val="auto"/>
        </w:rPr>
      </w:pPr>
      <w:r>
        <w:rPr>
          <w:rFonts w:ascii="Times New Roman" w:cs="Times New Roman" w:eastAsia="Times New Roman" w:hAnsi="Times New Roman"/>
          <w:sz w:val="18"/>
          <w:szCs w:val="18"/>
          <w:color w:val="auto"/>
        </w:rPr>
        <w:t>Some requirements previously included in IAS 1 are moved to IAS 8 Accounting Policies, Changes in Accounting Estimates and Errors, which is renamed as IAS 8 Basis of Preparation of Financial Statements. As a consequence of the issuance of IFRS 18, limited, but widely applicable, amendments are made to IAS 7 Statement of Cash Flows, IAS 33 Earnings per Share and IAS 34 Interim Financial Reporting. In addition, there are minor consequential amendments to other IFRSs. IFRS 18 and the consequential amendments to other IFRSs are effective for annual periods beginning on or after 1 January 2027 with earlier application permitted. Retrospective application is required. The Company is currently analysing the new requirements and assessing the impact of IFRS 18 on the presentation and disclosure of the Company’s financial statements.</w:t>
      </w:r>
    </w:p>
    <w:p>
      <w:pPr>
        <w:spacing w:after="0" w:line="187" w:lineRule="exact"/>
        <w:rPr>
          <w:sz w:val="20"/>
          <w:szCs w:val="20"/>
          <w:color w:val="auto"/>
        </w:rPr>
      </w:pPr>
    </w:p>
    <w:p>
      <w:pPr>
        <w:jc w:val="both"/>
        <w:ind w:left="780"/>
        <w:spacing w:after="0" w:line="258" w:lineRule="auto"/>
        <w:rPr>
          <w:sz w:val="20"/>
          <w:szCs w:val="20"/>
          <w:color w:val="auto"/>
        </w:rPr>
      </w:pPr>
      <w:r>
        <w:rPr>
          <w:rFonts w:ascii="Times New Roman" w:cs="Times New Roman" w:eastAsia="Times New Roman" w:hAnsi="Times New Roman"/>
          <w:sz w:val="18"/>
          <w:szCs w:val="18"/>
          <w:color w:val="auto"/>
        </w:rPr>
        <w:t>IFRS 19 allows eligible entities to elect to apply reduced disclosure requirements while still applying the recognition, measurement and presentation requirements in other IFRSs. To be eligible, at the end of the reporting period, an entity must be a subsidiary as defined in IFRS 10 Consolidated Financial Statements cannot have public accountability and must have a parent (ultimate or intermediate) that prepares consolidated financial statements available for public use which comply with IFRSs. Earlier application is permitted. The Company is currently considering the application of IFRS 19 in the financial statements.</w:t>
      </w:r>
    </w:p>
    <w:p>
      <w:pPr>
        <w:spacing w:after="0" w:line="183" w:lineRule="exact"/>
        <w:rPr>
          <w:sz w:val="20"/>
          <w:szCs w:val="20"/>
          <w:color w:val="auto"/>
        </w:rPr>
      </w:pPr>
    </w:p>
    <w:p>
      <w:pPr>
        <w:jc w:val="both"/>
        <w:ind w:left="780"/>
        <w:spacing w:after="0" w:line="253" w:lineRule="auto"/>
        <w:rPr>
          <w:sz w:val="20"/>
          <w:szCs w:val="20"/>
          <w:color w:val="auto"/>
        </w:rPr>
      </w:pPr>
      <w:r>
        <w:rPr>
          <w:rFonts w:ascii="Times New Roman" w:cs="Times New Roman" w:eastAsia="Times New Roman" w:hAnsi="Times New Roman"/>
          <w:sz w:val="18"/>
          <w:szCs w:val="18"/>
          <w:color w:val="auto"/>
        </w:rPr>
        <w:t>Amendments to IFRS 9 and IFRS 7 clarify the date on which a financial asset or financial liability is derecognized and introduce an accounting policy option to derecognize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The amendments shall be applied retrospectively with an adjustment to opening retained profits (or other component of equity) at the initial application date. Prior periods are not required to be restated and can only be restated without the use of hindsight. Earlier application of either all the amendments at the same time or only the amendments related to the classification of financial assets is permitted. The amendments are not expected to have any significant impact on the Company’s financial statements.</w:t>
      </w:r>
    </w:p>
    <w:p>
      <w:pPr>
        <w:spacing w:after="0" w:line="194" w:lineRule="exact"/>
        <w:rPr>
          <w:sz w:val="20"/>
          <w:szCs w:val="20"/>
          <w:color w:val="auto"/>
        </w:rPr>
      </w:pPr>
    </w:p>
    <w:p>
      <w:pPr>
        <w:jc w:val="both"/>
        <w:ind w:left="780" w:right="20"/>
        <w:spacing w:after="0" w:line="312" w:lineRule="auto"/>
        <w:rPr>
          <w:sz w:val="20"/>
          <w:szCs w:val="20"/>
          <w:color w:val="auto"/>
        </w:rPr>
      </w:pPr>
      <w:r>
        <w:rPr>
          <w:rFonts w:ascii="Times New Roman" w:cs="Times New Roman" w:eastAsia="Times New Roman" w:hAnsi="Times New Roman"/>
          <w:sz w:val="17"/>
          <w:szCs w:val="17"/>
          <w:color w:val="auto"/>
        </w:rPr>
        <w:t>Annual Improvements to IFRS Accounting Standards – Volume 11 set out amendments to IFRS 1, IFRS 7 (and the accompanying Guidance on implementing IFRS 7), IFRS 9, IFRS 10 and IAS 7. Details of the amendments that are expected to be applicable to the Company are as follows:</w:t>
      </w:r>
    </w:p>
    <w:p>
      <w:pPr>
        <w:spacing w:after="0" w:line="140" w:lineRule="exact"/>
        <w:rPr>
          <w:sz w:val="20"/>
          <w:szCs w:val="20"/>
          <w:color w:val="auto"/>
        </w:rPr>
      </w:pPr>
    </w:p>
    <w:p>
      <w:pPr>
        <w:jc w:val="both"/>
        <w:ind w:left="1100" w:right="120" w:hanging="323"/>
        <w:spacing w:after="0" w:line="256"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7 Financial Instruments: Disclosures: The amendments have updated certain wording in paragraph B38 of IFRS 7 and paragraphs IG1, IG14 and IG20B of the Guidance on implementing IFRS 7 for the purpose of simplification or achieving consistency with other paragraphs in the standard and/or with the concepts and terminology used in other standards. In addition, the amendments clarify that the Guidance on implementing IFRS 7 does not necessarily illustrate all the requirements in the referenced paragraphs of IFRS 7 nor does it create additional requirements. Earlier application is permitted. The amendments are not expected to have any significant impact on the Company’s financial statements.</w:t>
      </w:r>
    </w:p>
    <w:p>
      <w:pPr>
        <w:spacing w:after="0" w:line="214" w:lineRule="exact"/>
        <w:rPr>
          <w:rFonts w:ascii="Times New Roman" w:cs="Times New Roman" w:eastAsia="Times New Roman" w:hAnsi="Times New Roman"/>
          <w:sz w:val="18"/>
          <w:szCs w:val="18"/>
          <w:color w:val="auto"/>
        </w:rPr>
      </w:pPr>
    </w:p>
    <w:p>
      <w:pPr>
        <w:jc w:val="both"/>
        <w:ind w:left="1100" w:right="140" w:hanging="323"/>
        <w:spacing w:after="0" w:line="258"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 The amendments clarify that when a lessee has determined that a lease liability has been extinguished in accordance with IFRS 9, the lessee is required to apply paragraph 3.3.3 of IFRS 9 and recognise any resulting gain or loss in profit or loss. In addition, the amendments have updated certain wording in paragraph 5.1.3 of IFRS 9 and Appendix A of IFRS 9 to remove potential confusion. Earlier application is permitted. The amendments are not expected to have any significant impact on the Company’s financial statements.</w:t>
      </w:r>
    </w:p>
    <w:p>
      <w:pPr>
        <w:spacing w:after="0" w:line="210" w:lineRule="exact"/>
        <w:rPr>
          <w:rFonts w:ascii="Times New Roman" w:cs="Times New Roman" w:eastAsia="Times New Roman" w:hAnsi="Times New Roman"/>
          <w:sz w:val="18"/>
          <w:szCs w:val="18"/>
          <w:color w:val="auto"/>
        </w:rPr>
      </w:pPr>
    </w:p>
    <w:p>
      <w:pPr>
        <w:jc w:val="both"/>
        <w:ind w:left="1100" w:right="140" w:hanging="323"/>
        <w:spacing w:after="0" w:line="266"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7 Statement of Cash Flows: The amendments replace the term “cost method” with “at cost” in paragraph 37 of IAS 7 following the prior deletion of the definition of “cost method”. Earlier application is permitted. The amendments are not expected to have any impact on the Company’s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color w:val="auto"/>
        </w:rPr>
        <w:t>Gamee Mobile s.r.o.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MATERIAL ACCOUNTING POLICY INFORMATION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Business operations in foreign currency</w:t>
      </w:r>
    </w:p>
    <w:p>
      <w:pPr>
        <w:spacing w:after="0" w:line="229" w:lineRule="exact"/>
        <w:rPr>
          <w:sz w:val="20"/>
          <w:szCs w:val="20"/>
          <w:color w:val="auto"/>
        </w:rPr>
      </w:pPr>
    </w:p>
    <w:p>
      <w:pPr>
        <w:jc w:val="both"/>
        <w:ind w:left="720" w:right="140"/>
        <w:spacing w:after="0" w:line="257" w:lineRule="auto"/>
        <w:rPr>
          <w:sz w:val="20"/>
          <w:szCs w:val="20"/>
          <w:color w:val="auto"/>
        </w:rPr>
      </w:pPr>
      <w:r>
        <w:rPr>
          <w:rFonts w:ascii="Times New Roman" w:cs="Times New Roman" w:eastAsia="Times New Roman" w:hAnsi="Times New Roman"/>
          <w:sz w:val="18"/>
          <w:szCs w:val="18"/>
          <w:color w:val="auto"/>
        </w:rPr>
        <w:t>The Company records foreign currency transactions at the exchange rate of the date of transaction. Any resulting foreign currency gains or losses are recognised in the income statement of the relevant fiscal year. Utilized foreign currencies are primarily EUR and USD, use and impact of other foreign currencies is not significant.</w:t>
      </w:r>
    </w:p>
    <w:p>
      <w:pPr>
        <w:spacing w:after="0" w:line="1" w:lineRule="exact"/>
        <w:rPr>
          <w:sz w:val="20"/>
          <w:szCs w:val="20"/>
          <w:color w:val="auto"/>
        </w:rPr>
      </w:pPr>
    </w:p>
    <w:p>
      <w:pPr>
        <w:jc w:val="both"/>
        <w:ind w:left="720" w:right="140"/>
        <w:spacing w:after="0" w:line="260" w:lineRule="auto"/>
        <w:rPr>
          <w:sz w:val="20"/>
          <w:szCs w:val="20"/>
          <w:color w:val="auto"/>
        </w:rPr>
      </w:pPr>
      <w:r>
        <w:rPr>
          <w:rFonts w:ascii="Times New Roman" w:cs="Times New Roman" w:eastAsia="Times New Roman" w:hAnsi="Times New Roman"/>
          <w:sz w:val="18"/>
          <w:szCs w:val="18"/>
          <w:color w:val="auto"/>
        </w:rPr>
        <w:t>The foreign currency translation of balances in foreign currencies and of business operations (transactions) was done using the exchange rates as of the balance sheet date. The following exchange rates were used:</w:t>
      </w:r>
    </w:p>
    <w:p>
      <w:pPr>
        <w:spacing w:after="0" w:line="200"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180" w:type="dxa"/>
            <w:vAlign w:val="bottom"/>
            <w:shd w:val="clear" w:color="auto" w:fill="000080"/>
          </w:tcPr>
          <w:p>
            <w:pPr>
              <w:ind w:left="80"/>
              <w:spacing w:after="0"/>
              <w:rPr>
                <w:sz w:val="20"/>
                <w:szCs w:val="20"/>
                <w:color w:val="auto"/>
              </w:rPr>
            </w:pPr>
            <w:r>
              <w:rPr>
                <w:rFonts w:ascii="Times New Roman" w:cs="Times New Roman" w:eastAsia="Times New Roman" w:hAnsi="Times New Roman"/>
                <w:sz w:val="18"/>
                <w:szCs w:val="18"/>
                <w:b w:val="1"/>
                <w:bCs w:val="1"/>
                <w:color w:val="FFFFFF"/>
              </w:rPr>
              <w:t>FX rates CZK</w:t>
            </w:r>
          </w:p>
        </w:tc>
        <w:tc>
          <w:tcPr>
            <w:tcW w:w="2540" w:type="dxa"/>
            <w:vAlign w:val="bottom"/>
            <w:shd w:val="clear" w:color="auto" w:fill="000080"/>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quantity</w:t>
            </w:r>
          </w:p>
        </w:tc>
        <w:tc>
          <w:tcPr>
            <w:tcW w:w="2580" w:type="dxa"/>
            <w:vAlign w:val="bottom"/>
            <w:shd w:val="clear" w:color="auto" w:fill="00008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31.12.2024</w:t>
            </w:r>
          </w:p>
        </w:tc>
        <w:tc>
          <w:tcPr>
            <w:tcW w:w="1680" w:type="dxa"/>
            <w:vAlign w:val="bottom"/>
            <w:shd w:val="clear" w:color="auto" w:fill="000080"/>
          </w:tcPr>
          <w:p>
            <w:pPr>
              <w:jc w:val="right"/>
              <w:spacing w:after="0"/>
              <w:rPr>
                <w:sz w:val="20"/>
                <w:szCs w:val="20"/>
                <w:color w:val="auto"/>
              </w:rPr>
            </w:pPr>
            <w:r>
              <w:rPr>
                <w:rFonts w:ascii="Times New Roman" w:cs="Times New Roman" w:eastAsia="Times New Roman" w:hAnsi="Times New Roman"/>
                <w:sz w:val="18"/>
                <w:szCs w:val="18"/>
                <w:b w:val="1"/>
                <w:bCs w:val="1"/>
                <w:color w:val="FFFFFF"/>
              </w:rPr>
              <w:t>31.12.2023</w:t>
            </w:r>
          </w:p>
        </w:tc>
      </w:tr>
      <w:tr>
        <w:trPr>
          <w:trHeight w:val="198"/>
        </w:trPr>
        <w:tc>
          <w:tcPr>
            <w:tcW w:w="2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25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24,237</w:t>
            </w:r>
          </w:p>
        </w:tc>
        <w:tc>
          <w:tcPr>
            <w:tcW w:w="1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22,376</w:t>
            </w:r>
          </w:p>
        </w:tc>
      </w:tr>
      <w:tr>
        <w:trPr>
          <w:trHeight w:val="234"/>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25,185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24,725</w:t>
            </w:r>
          </w:p>
        </w:tc>
      </w:tr>
    </w:tbl>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Intangible fixed assets are initially measured at cost, which includes the purchase price and all expenses directly attributable to their acquisition.</w:t>
      </w:r>
    </w:p>
    <w:p>
      <w:pPr>
        <w:spacing w:after="0" w:line="225"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Intangible fixed assets with an acquisition cost exceeding CZK 80,000 in 2024 and 2023 are amortised to expenses over their estimated useful lives. If the carrying amount of an intangible fixed asset decreases due to temporary non-use, damage, or other circumstances, the Company recognises an impairment allowance to reduce its value.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In accordance with IFRS 9, financial assets shall be classified in three categories: (i) measured at amortised cost, (ii) fair value through other comprehensive income (FVOCI) and (iii) fair value through profit or loss (FVTPL). The classification of financial assets under IFRS 9 is generally based on the business model in which a financial asset is managed and on its contractual cash flow characteristics. As financial instruments measured at amortized cost qualify only those, whose business model gives rise to cash flows that are solely payments of principal and interests. All other financial assets are measured at fair value through profit or loss.</w:t>
      </w:r>
    </w:p>
    <w:p>
      <w:pPr>
        <w:spacing w:after="0" w:line="183"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Trade receivables that do not contain a significant financial component or for which the Company has applied the practical expedient of not adjusting the effect of a significant financial component are measured at the transaction price determined under IFRS 15. All the other financial assets are initially recognised at fair value plus transaction costs that are attributable to the acquisition of the financial assets, except in the case of financial assets recorded at fair value through profit or loss. Regular way purchases and sales of financial assets are recognised on the trade date, that is, the date when the Company commits to purchase or sell the assets.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Classification and measurement</w:t>
      </w:r>
    </w:p>
    <w:p>
      <w:pPr>
        <w:spacing w:after="0" w:line="225" w:lineRule="exact"/>
        <w:rPr>
          <w:sz w:val="20"/>
          <w:szCs w:val="20"/>
          <w:color w:val="auto"/>
        </w:rPr>
      </w:pPr>
    </w:p>
    <w:p>
      <w:pPr>
        <w:jc w:val="both"/>
        <w:ind w:left="1040"/>
        <w:spacing w:after="0" w:line="282" w:lineRule="auto"/>
        <w:rPr>
          <w:sz w:val="20"/>
          <w:szCs w:val="20"/>
          <w:color w:val="auto"/>
        </w:rPr>
      </w:pPr>
      <w:r>
        <w:rPr>
          <w:rFonts w:ascii="Times New Roman" w:cs="Times New Roman" w:eastAsia="Times New Roman" w:hAnsi="Times New Roman"/>
          <w:sz w:val="18"/>
          <w:szCs w:val="18"/>
          <w:color w:val="auto"/>
        </w:rPr>
        <w:t>Debt instruments are measured at amortised cost using the effective interest rate method, subject to impairment if the assets are held for the collection of contractual cash flows where those contractual cash flows represent solely payments of principal and interest.</w:t>
      </w:r>
    </w:p>
    <w:p>
      <w:pPr>
        <w:spacing w:after="0" w:line="162" w:lineRule="exact"/>
        <w:rPr>
          <w:sz w:val="20"/>
          <w:szCs w:val="20"/>
          <w:color w:val="auto"/>
        </w:rPr>
      </w:pPr>
    </w:p>
    <w:p>
      <w:pPr>
        <w:jc w:val="both"/>
        <w:ind w:left="1040"/>
        <w:spacing w:after="0" w:line="255" w:lineRule="auto"/>
        <w:rPr>
          <w:sz w:val="20"/>
          <w:szCs w:val="20"/>
          <w:color w:val="auto"/>
        </w:rPr>
      </w:pPr>
      <w:r>
        <w:rPr>
          <w:rFonts w:ascii="Times New Roman" w:cs="Times New Roman" w:eastAsia="Times New Roman" w:hAnsi="Times New Roman"/>
          <w:sz w:val="18"/>
          <w:szCs w:val="18"/>
          <w:color w:val="auto"/>
        </w:rPr>
        <w:t>Debt instruments are measured at fair value through other comprehensive income if the assets’ contractual cash flows represent solely payments of principal and interest and the assets are held for collection of contractual cash flows and for selling the financial assets. Such financial assets are subsequently measured at fair value with any gains or losses from changes in fair value recognised in other comprehensive income, except for impairment losses and reversal, foreign exchange gains and losses and interest calculated using the effective interest rate method which are recognised in the statement of profit or loss. The cumulative gains or losses previously recognised in other comprehensive income are reclassified from other comprehensive income to the statement of profit or loss when the financial asset is derecognised.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MATERIAL ACCOUNTING POLICY INFORMATION (continued)</w:t>
      </w:r>
    </w:p>
    <w:p>
      <w:pPr>
        <w:spacing w:after="0" w:line="229"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Debt instruments that do not meet the criteria for amortised cost or as financial assets at fair value though other comprehensive income are measured at fair value through profit or loss. Interest income for these financial assets is included in finance income.</w:t>
      </w:r>
    </w:p>
    <w:p>
      <w:pPr>
        <w:spacing w:after="0" w:line="162" w:lineRule="exact"/>
        <w:rPr>
          <w:sz w:val="20"/>
          <w:szCs w:val="20"/>
          <w:color w:val="auto"/>
        </w:rPr>
      </w:pPr>
    </w:p>
    <w:p>
      <w:pPr>
        <w:ind w:left="720" w:hanging="712"/>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w:t>
      </w:r>
    </w:p>
    <w:p>
      <w:pPr>
        <w:spacing w:after="0" w:line="225" w:lineRule="exact"/>
        <w:rPr>
          <w:rFonts w:ascii="Times New Roman" w:cs="Times New Roman" w:eastAsia="Times New Roman" w:hAnsi="Times New Roman"/>
          <w:sz w:val="18"/>
          <w:szCs w:val="18"/>
          <w:color w:val="auto"/>
        </w:rPr>
      </w:pPr>
    </w:p>
    <w:p>
      <w:pPr>
        <w:jc w:val="both"/>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the expected credit loss model on all the financial assets that are subject to impairment. Impairment allowances are recognised under the general approach where expected credit losses are recognised in two stages. For credit exposures where there has not been a significant increase in credit risk since initial recognition, the Company is required to provide for credit losses that result from possible default events within the next 12 months. For those credit exposures where there has been a significant increase in credit risk since initial recognition, a loss allowance is required for credit losses expected over the remaining life of the exposure irrespective of the timing of the default.</w:t>
      </w:r>
    </w:p>
    <w:p>
      <w:pPr>
        <w:spacing w:after="0" w:line="183" w:lineRule="exact"/>
        <w:rPr>
          <w:rFonts w:ascii="Times New Roman" w:cs="Times New Roman" w:eastAsia="Times New Roman" w:hAnsi="Times New Roman"/>
          <w:sz w:val="18"/>
          <w:szCs w:val="18"/>
          <w:color w:val="auto"/>
        </w:rPr>
      </w:pPr>
    </w:p>
    <w:p>
      <w:pPr>
        <w:jc w:val="both"/>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w:t>
      </w:r>
    </w:p>
    <w:p>
      <w:pPr>
        <w:spacing w:after="0" w:line="17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rFonts w:ascii="Times New Roman" w:cs="Times New Roman" w:eastAsia="Times New Roman" w:hAnsi="Times New Roman"/>
          <w:sz w:val="18"/>
          <w:szCs w:val="18"/>
          <w:color w:val="auto"/>
        </w:rPr>
      </w:pPr>
    </w:p>
    <w:p>
      <w:pPr>
        <w:jc w:val="both"/>
        <w:ind w:left="72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are derecognised when the rights to receive cash flows from the assets have expired; or where the Company has transferred its contractual rights to receive the cash flows of the financial assets and has transferred substantially all the risks and rewards of ownership; or where control is not retained.</w:t>
      </w:r>
    </w:p>
    <w:p>
      <w:pPr>
        <w:spacing w:after="0" w:line="1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and other financial assets</w:t>
      </w:r>
    </w:p>
    <w:p>
      <w:pPr>
        <w:spacing w:after="0" w:line="229" w:lineRule="exact"/>
        <w:rPr>
          <w:rFonts w:ascii="Times New Roman" w:cs="Times New Roman" w:eastAsia="Times New Roman" w:hAnsi="Times New Roman"/>
          <w:sz w:val="18"/>
          <w:szCs w:val="18"/>
          <w:color w:val="auto"/>
        </w:rPr>
      </w:pPr>
    </w:p>
    <w:p>
      <w:pPr>
        <w:ind w:lef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from the provision of services, other receivables and other financial assets are measured initially at fair value, and thereafter at amortised cost, applying the effective interest-rate method with deduction for any reduction for impairments.</w:t>
      </w:r>
    </w:p>
    <w:p>
      <w:pPr>
        <w:spacing w:after="0" w:line="15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financial liabilities</w:t>
      </w:r>
    </w:p>
    <w:p>
      <w:pPr>
        <w:spacing w:after="0" w:line="229" w:lineRule="exact"/>
        <w:rPr>
          <w:rFonts w:ascii="Times New Roman" w:cs="Times New Roman" w:eastAsia="Times New Roman" w:hAnsi="Times New Roman"/>
          <w:sz w:val="18"/>
          <w:szCs w:val="18"/>
          <w:color w:val="auto"/>
        </w:rPr>
      </w:pPr>
    </w:p>
    <w:p>
      <w:pPr>
        <w:ind w:lef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such as trade payables, are assigned to the category "financial liabilities at amortised cost" (FLAC) and measured upon receipt at fair value, and thereafter at amortised acquisition cost.</w:t>
      </w:r>
    </w:p>
    <w:p>
      <w:pPr>
        <w:spacing w:after="0" w:line="15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Provisions and contingent liabilities</w:t>
      </w:r>
    </w:p>
    <w:p>
      <w:pPr>
        <w:spacing w:after="0" w:line="229" w:lineRule="exact"/>
        <w:rPr>
          <w:rFonts w:ascii="Times New Roman" w:cs="Times New Roman" w:eastAsia="Times New Roman" w:hAnsi="Times New Roman"/>
          <w:sz w:val="18"/>
          <w:szCs w:val="18"/>
          <w:color w:val="auto"/>
        </w:rPr>
      </w:pPr>
    </w:p>
    <w:p>
      <w:pPr>
        <w:jc w:val="both"/>
        <w:ind w:left="7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are recognised if the Company has legal or constructive obligations towards a third party due to a past event and the obligation is likely to lead to an outflow of funds. Such provisions are stated at the value which can be determined by the best possible estimate at the time the financial statements are prepared.</w:t>
      </w:r>
    </w:p>
    <w:p>
      <w:pPr>
        <w:spacing w:after="0" w:line="1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considered to be related to the Company if:</w:t>
      </w:r>
    </w:p>
    <w:p>
      <w:pPr>
        <w:spacing w:after="0" w:line="225" w:lineRule="exact"/>
        <w:rPr>
          <w:rFonts w:ascii="Times New Roman" w:cs="Times New Roman" w:eastAsia="Times New Roman" w:hAnsi="Times New Roman"/>
          <w:sz w:val="18"/>
          <w:szCs w:val="18"/>
          <w:color w:val="auto"/>
        </w:rPr>
      </w:pPr>
    </w:p>
    <w:p>
      <w:pPr>
        <w:ind w:left="1160" w:hanging="450"/>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27" w:lineRule="exact"/>
        <w:rPr>
          <w:rFonts w:ascii="Times New Roman" w:cs="Times New Roman" w:eastAsia="Times New Roman" w:hAnsi="Times New Roman"/>
          <w:sz w:val="18"/>
          <w:szCs w:val="18"/>
          <w:color w:val="auto"/>
        </w:rPr>
      </w:pPr>
    </w:p>
    <w:p>
      <w:pPr>
        <w:ind w:left="1620" w:hanging="451"/>
        <w:spacing w:after="0"/>
        <w:tabs>
          <w:tab w:leader="none" w:pos="16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Company;</w:t>
      </w:r>
    </w:p>
    <w:p>
      <w:pPr>
        <w:spacing w:after="0" w:line="9" w:lineRule="exact"/>
        <w:rPr>
          <w:rFonts w:ascii="Times New Roman" w:cs="Times New Roman" w:eastAsia="Times New Roman" w:hAnsi="Times New Roman"/>
          <w:sz w:val="18"/>
          <w:szCs w:val="18"/>
          <w:color w:val="auto"/>
        </w:rPr>
      </w:pPr>
    </w:p>
    <w:p>
      <w:pPr>
        <w:ind w:left="1620" w:hanging="451"/>
        <w:spacing w:after="0"/>
        <w:tabs>
          <w:tab w:leader="none" w:pos="16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Company; or</w:t>
      </w:r>
    </w:p>
    <w:p>
      <w:pPr>
        <w:spacing w:after="0" w:line="9" w:lineRule="exact"/>
        <w:rPr>
          <w:rFonts w:ascii="Times New Roman" w:cs="Times New Roman" w:eastAsia="Times New Roman" w:hAnsi="Times New Roman"/>
          <w:sz w:val="18"/>
          <w:szCs w:val="18"/>
          <w:color w:val="auto"/>
        </w:rPr>
      </w:pPr>
    </w:p>
    <w:p>
      <w:pPr>
        <w:ind w:left="1620" w:hanging="451"/>
        <w:spacing w:after="0"/>
        <w:tabs>
          <w:tab w:leader="none" w:pos="16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Company or of a parent of the Company;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 xml:space="preserve">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Related parties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480" w:hanging="759"/>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27" w:lineRule="exact"/>
        <w:rPr>
          <w:rFonts w:ascii="Times New Roman" w:cs="Times New Roman" w:eastAsia="Times New Roman" w:hAnsi="Times New Roman"/>
          <w:sz w:val="18"/>
          <w:szCs w:val="18"/>
          <w:color w:val="auto"/>
        </w:rPr>
      </w:pPr>
    </w:p>
    <w:p>
      <w:pPr>
        <w:ind w:left="1880" w:hanging="455"/>
        <w:spacing w:after="0"/>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members of the same group;</w:t>
      </w:r>
    </w:p>
    <w:p>
      <w:pPr>
        <w:spacing w:after="0" w:line="9" w:lineRule="exact"/>
        <w:rPr>
          <w:rFonts w:ascii="Times New Roman" w:cs="Times New Roman" w:eastAsia="Times New Roman" w:hAnsi="Times New Roman"/>
          <w:sz w:val="18"/>
          <w:szCs w:val="18"/>
          <w:color w:val="auto"/>
        </w:rPr>
      </w:pPr>
    </w:p>
    <w:p>
      <w:pPr>
        <w:ind w:left="1880" w:hanging="455"/>
        <w:spacing w:after="0"/>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9" w:lineRule="exact"/>
        <w:rPr>
          <w:rFonts w:ascii="Times New Roman" w:cs="Times New Roman" w:eastAsia="Times New Roman" w:hAnsi="Times New Roman"/>
          <w:sz w:val="18"/>
          <w:szCs w:val="18"/>
          <w:color w:val="auto"/>
        </w:rPr>
      </w:pPr>
    </w:p>
    <w:p>
      <w:pPr>
        <w:ind w:left="1880" w:hanging="455"/>
        <w:spacing w:after="0"/>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joint ventures of the same third party;</w:t>
      </w:r>
    </w:p>
    <w:p>
      <w:pPr>
        <w:spacing w:after="0" w:line="9" w:lineRule="exact"/>
        <w:rPr>
          <w:rFonts w:ascii="Times New Roman" w:cs="Times New Roman" w:eastAsia="Times New Roman" w:hAnsi="Times New Roman"/>
          <w:sz w:val="18"/>
          <w:szCs w:val="18"/>
          <w:color w:val="auto"/>
        </w:rPr>
      </w:pPr>
    </w:p>
    <w:p>
      <w:pPr>
        <w:ind w:left="1880" w:hanging="455"/>
        <w:spacing w:after="0"/>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ind w:left="1880" w:right="460" w:hanging="455"/>
        <w:spacing w:after="0" w:line="250" w:lineRule="auto"/>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Company or an entity related to the Company;</w:t>
      </w:r>
    </w:p>
    <w:p>
      <w:pPr>
        <w:ind w:left="1880" w:hanging="455"/>
        <w:spacing w:after="0"/>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1880" w:right="200" w:hanging="455"/>
        <w:spacing w:after="0" w:line="250" w:lineRule="auto"/>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and</w:t>
      </w:r>
    </w:p>
    <w:p>
      <w:pPr>
        <w:ind w:left="1880" w:right="600" w:hanging="455"/>
        <w:spacing w:after="0" w:line="260" w:lineRule="auto"/>
        <w:tabs>
          <w:tab w:leader="none" w:pos="18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Company or to the parent of the Company.</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statement of financial position comprise cash at banks, and short-term highly liquid deposits with a maturity of generally within three months that are readily convertible into known amounts of cash, subject to an insignificant risk of changes in value and held for the purpose of meeting short-term cash commitments.</w:t>
      </w:r>
    </w:p>
    <w:p>
      <w:pPr>
        <w:spacing w:after="0" w:line="176" w:lineRule="exact"/>
        <w:rPr>
          <w:sz w:val="20"/>
          <w:szCs w:val="20"/>
          <w:color w:val="auto"/>
        </w:rPr>
      </w:pPr>
    </w:p>
    <w:p>
      <w:pPr>
        <w:jc w:val="both"/>
        <w:ind w:left="720" w:right="20"/>
        <w:spacing w:after="0" w:line="282" w:lineRule="auto"/>
        <w:rPr>
          <w:sz w:val="20"/>
          <w:szCs w:val="20"/>
          <w:color w:val="auto"/>
        </w:rPr>
      </w:pPr>
      <w:r>
        <w:rPr>
          <w:rFonts w:ascii="Times New Roman" w:cs="Times New Roman" w:eastAsia="Times New Roman" w:hAnsi="Times New Roman"/>
          <w:sz w:val="18"/>
          <w:szCs w:val="18"/>
          <w:color w:val="auto"/>
        </w:rPr>
        <w:t>For the purpose of the statement of cash flows, cash and cash equivalents comprise cash on hand and at banks, and short-term deposits, as defined above, less bank overdrafts which are repayable on demand and form an integral part of the Company’s cash management.</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Financial liabilities are initially recognised at the fair value of the consideration received less directly attributable transaction costs. After initial recognition, they are subsequently measured at amortised cost using the effective interest rate method.</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Financial liabilities are derecognised when they are extinguished, i.e., when the obligation is discharged or cancelled, or expires.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is recognised when the control of services is transferred to the customers, at an amount that reflects the consideration to which the Company expects to be entitled in exchange for those services. There are no variable components in the contract, the Company operates on a cost+ basis with other group entities.</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Interest income is recognised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Deferred tax is provided using the liability method, on temporary differences at the end of the reporting period arising between the tax bases of assets and liabilities and their carrying amounts for financial reporting purposes. Tax rates enacted or substantively enacted by the end of the reporting period are used to determine the deferred tax.</w:t>
      </w:r>
    </w:p>
    <w:p>
      <w:pPr>
        <w:spacing w:after="0" w:line="176"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Deferred tax liabilities are provided in full while deferred tax assets are recognised to the extent that it is probable that future taxable profit will be available against which the temporary differences can be utilised.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recharge of costs to a group entity</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73 891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73 810</w:t>
            </w:r>
          </w:p>
        </w:tc>
      </w:tr>
      <w:tr>
        <w:trPr>
          <w:trHeight w:val="216"/>
        </w:trPr>
        <w:tc>
          <w:tcPr>
            <w:tcW w:w="720" w:type="dxa"/>
            <w:vAlign w:val="bottom"/>
          </w:tcPr>
          <w:p>
            <w:pPr>
              <w:spacing w:after="0"/>
              <w:rPr>
                <w:sz w:val="18"/>
                <w:szCs w:val="18"/>
                <w:color w:val="auto"/>
              </w:rPr>
            </w:pPr>
          </w:p>
        </w:tc>
        <w:tc>
          <w:tcPr>
            <w:tcW w:w="7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09"/>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73 891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74 607</w:t>
            </w:r>
          </w:p>
        </w:tc>
      </w:tr>
    </w:tbl>
    <w:p>
      <w:pPr>
        <w:spacing w:after="0" w:line="198"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provides IT development services to related parties, where its costs are primarily staff costs provided by external parties (see below in note 4.Operating costs). Revenues represent recharge of the Company´s costs +5% mark-up. Revenues are recorded in the period, to which they relate. Contractual incentives are not used.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purchased services</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59 666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61 065</w:t>
            </w:r>
          </w:p>
        </w:tc>
      </w:tr>
      <w:tr>
        <w:trPr>
          <w:trHeight w:val="216"/>
        </w:trPr>
        <w:tc>
          <w:tcPr>
            <w:tcW w:w="720" w:type="dxa"/>
            <w:vAlign w:val="bottom"/>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Payroll costs</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8 957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7 400</w:t>
            </w:r>
          </w:p>
        </w:tc>
      </w:tr>
      <w:tr>
        <w:trPr>
          <w:trHeight w:val="216"/>
        </w:trPr>
        <w:tc>
          <w:tcPr>
            <w:tcW w:w="720" w:type="dxa"/>
            <w:vAlign w:val="bottom"/>
          </w:tcPr>
          <w:p>
            <w:pPr>
              <w:spacing w:after="0"/>
              <w:rPr>
                <w:sz w:val="18"/>
                <w:szCs w:val="18"/>
                <w:color w:val="auto"/>
              </w:rPr>
            </w:pPr>
          </w:p>
        </w:tc>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1 773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1 842</w:t>
            </w:r>
          </w:p>
        </w:tc>
      </w:tr>
      <w:tr>
        <w:trPr>
          <w:trHeight w:val="210"/>
        </w:trPr>
        <w:tc>
          <w:tcPr>
            <w:tcW w:w="720" w:type="dxa"/>
            <w:vAlign w:val="bottom"/>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70 396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70 307</w:t>
            </w:r>
          </w:p>
        </w:tc>
      </w:tr>
    </w:tbl>
    <w:p>
      <w:pPr>
        <w:spacing w:after="0" w:line="198"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Costs of purchased services represent mainly externally sourced programming services. Payroll costs contain primarily management remuneration, including the social and health security charges.</w:t>
      </w:r>
    </w:p>
    <w:p>
      <w:pPr>
        <w:spacing w:after="0" w:line="158" w:lineRule="exact"/>
        <w:rPr>
          <w:sz w:val="20"/>
          <w:szCs w:val="20"/>
          <w:color w:val="auto"/>
        </w:rPr>
      </w:pPr>
    </w:p>
    <w:p>
      <w:pPr>
        <w:ind w:left="720" w:hanging="712"/>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COSTS AND INCOME</w:t>
      </w:r>
    </w:p>
    <w:p>
      <w:pPr>
        <w:spacing w:after="0" w:line="229" w:lineRule="exact"/>
        <w:rPr>
          <w:rFonts w:ascii="Times New Roman" w:cs="Times New Roman" w:eastAsia="Times New Roman" w:hAnsi="Times New Roman"/>
          <w:sz w:val="18"/>
          <w:szCs w:val="18"/>
          <w:b w:val="1"/>
          <w:bCs w:val="1"/>
          <w:color w:val="auto"/>
        </w:rPr>
      </w:pPr>
    </w:p>
    <w:p>
      <w:pPr>
        <w:ind w:lef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2024, other financial income represents primarily gain on the revaluation of the interest-bearing loan to a related party (ref.to note 7 below) in the amount of CZK 5.3 million (2023: loss on revaluation of the loan of CZK 0.7 million).</w:t>
      </w:r>
    </w:p>
    <w:p>
      <w:pPr>
        <w:spacing w:after="0" w:line="15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before tax</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9 761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3 575</w:t>
            </w:r>
          </w:p>
        </w:tc>
      </w:tr>
      <w:tr>
        <w:trPr>
          <w:trHeight w:val="216"/>
        </w:trPr>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 expense (+) / income (-)</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1 723</w:t>
            </w:r>
          </w:p>
        </w:tc>
      </w:tr>
      <w:tr>
        <w:trPr>
          <w:trHeight w:val="216"/>
        </w:trPr>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results after tax</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9 035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5 298</w:t>
            </w:r>
          </w:p>
        </w:tc>
      </w:tr>
    </w:tbl>
    <w:p>
      <w:pPr>
        <w:spacing w:after="0" w:line="198"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deferred income tax relates primarily to accumulated tax losses of prior years. The Company has tax losses of prior years in the total amount of CZK 17.7 million as at 31 December 2024, which can be utilised only until 2025. Given the tax losses of prior years, the Company did not have corporate income tax payable in 2024 and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ind w:left="720" w:hanging="71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Non-current assets are primarily represented by an interest-bearing loan provided to a related party amounting to CZK 69,414 ths. (USD 2,864 ths.) as at 31 December 2024 (31 December 2023: CZK 63 174 ths., which equaled to USD 2,823 ths.). The carrying amount approximates the fair value.</w:t>
      </w:r>
    </w:p>
    <w:p>
      <w:pPr>
        <w:spacing w:after="0" w:line="175"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assets contain right of use for office space of CZK 2 145 ths. (31 December 2023: CZK 2 822 ths.) and deferred tax asset of</w:t>
      </w:r>
    </w:p>
    <w:p>
      <w:pPr>
        <w:spacing w:after="0" w:line="27" w:lineRule="exact"/>
        <w:rPr>
          <w:rFonts w:ascii="Times New Roman" w:cs="Times New Roman" w:eastAsia="Times New Roman" w:hAnsi="Times New Roman"/>
          <w:sz w:val="18"/>
          <w:szCs w:val="18"/>
          <w:b w:val="1"/>
          <w:bCs w:val="1"/>
          <w:color w:val="auto"/>
        </w:rPr>
      </w:pPr>
    </w:p>
    <w:p>
      <w:pPr>
        <w:ind w:lef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CZK 997 ths. (31 December 2023: CZK 1 723 ths.) recognized as at 31 December 2024. Deferred tax asset was recognised primarily from accumulated tax losses, however, only in the amount that is expected to be utilised (CZK 4.5 million).</w:t>
      </w:r>
    </w:p>
    <w:p>
      <w:pPr>
        <w:spacing w:after="0" w:line="17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represented primarily by a related party receivable amounting to CZK 12,708 ths. (USD 524 ths.); (31 December 2023: related party receivable of CZK 17,750 ths.). Trade and other receivables are current assets and are recognised without any necessary valuation adjustments, and as a result the carrying amount reflects their fair value.</w:t>
      </w:r>
    </w:p>
    <w:p>
      <w:pPr>
        <w:spacing w:after="0" w:line="171"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BANK BALANCES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are represented primarily by cash in current bank accounts at Komerční banka a.s., denominated in CZK, USD and EUR. Cash and cash equivalents are current assets and are recognised without any necessary valuation adjustments and therefore the carrying amount reflects fair value.</w:t>
      </w:r>
    </w:p>
    <w:p>
      <w:pPr>
        <w:spacing w:after="0" w:line="171"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DEFFERED AND CURRENT TAXES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recognized on all temporary differences between the tax values of assets and liabilities and their carrying amount in the financial statements. Deferred tax asset is recognized only to the extent that it is probable that future taxable profits will be available against which it can be utilised.</w:t>
      </w:r>
    </w:p>
    <w:p>
      <w:pPr>
        <w:spacing w:after="0" w:line="175"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is measured at the enacted tax rates that are expected to apply to the year when the underlying asset or liability will be settled.</w:t>
      </w:r>
    </w:p>
    <w:p>
      <w:pPr>
        <w:spacing w:after="0" w:line="225" w:lineRule="exact"/>
        <w:rPr>
          <w:rFonts w:ascii="Times New Roman" w:cs="Times New Roman" w:eastAsia="Times New Roman" w:hAnsi="Times New Roman"/>
          <w:sz w:val="18"/>
          <w:szCs w:val="18"/>
          <w:b w:val="1"/>
          <w:bCs w:val="1"/>
          <w:color w:val="auto"/>
        </w:rPr>
      </w:pPr>
    </w:p>
    <w:p>
      <w:pPr>
        <w:ind w:lef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for the year is calculated from the taxable income using the tax rate enacted and applicable in the Czech Republic. Current income tax assets and liabilities are measured at amounts which are expected to be received from or paid to the respective tax authority.</w:t>
      </w:r>
    </w:p>
    <w:p>
      <w:pPr>
        <w:spacing w:after="0" w:line="15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LIABILITIES</w:t>
      </w:r>
    </w:p>
    <w:p>
      <w:pPr>
        <w:spacing w:after="0" w:line="229" w:lineRule="exact"/>
        <w:rPr>
          <w:rFonts w:ascii="Times New Roman" w:cs="Times New Roman" w:eastAsia="Times New Roman" w:hAnsi="Times New Roman"/>
          <w:sz w:val="18"/>
          <w:szCs w:val="18"/>
          <w:b w:val="1"/>
          <w:bCs w:val="1"/>
          <w:color w:val="auto"/>
        </w:rPr>
      </w:pPr>
    </w:p>
    <w:p>
      <w:pPr>
        <w:ind w:left="7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liabilities contain primarily an advance received from a related party for financing the working capital amounting to CZK 12,175 ths. (USD 502 ths.) as of 31 December 2024 (31 December 2023: advance received of CZK 11,303 ths.).</w:t>
      </w:r>
    </w:p>
    <w:p>
      <w:pPr>
        <w:spacing w:after="0" w:line="161" w:lineRule="exact"/>
        <w:rPr>
          <w:rFonts w:ascii="Times New Roman" w:cs="Times New Roman" w:eastAsia="Times New Roman" w:hAnsi="Times New Roman"/>
          <w:sz w:val="18"/>
          <w:szCs w:val="18"/>
          <w:b w:val="1"/>
          <w:bCs w:val="1"/>
          <w:color w:val="auto"/>
        </w:rPr>
      </w:pPr>
    </w:p>
    <w:p>
      <w:pPr>
        <w:ind w:left="720" w:right="230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consider the trade and other liabilities to be current and therefore their book value reflects also their fair value. Lease liabilities represent a net present value of a liability for rent of office space.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880" w:hanging="872"/>
        <w:spacing w:after="0"/>
        <w:tabs>
          <w:tab w:leader="none" w:pos="8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OPERATING LEASE CONTRACTS</w:t>
      </w:r>
    </w:p>
    <w:p>
      <w:pPr>
        <w:spacing w:after="0" w:line="246"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The Company has reported the relevant operating lease agreements in accordance with IFRS 16. For the reporting of operating lease agreements, the Company has chosen to report only newly concluded contracts after 1 January 2019 in accordance with IFRS 16.</w:t>
      </w:r>
    </w:p>
    <w:p>
      <w:pPr>
        <w:spacing w:after="0" w:line="148" w:lineRule="exact"/>
        <w:rPr>
          <w:sz w:val="20"/>
          <w:szCs w:val="20"/>
          <w:color w:val="auto"/>
        </w:rPr>
      </w:pPr>
    </w:p>
    <w:p>
      <w:pPr>
        <w:ind w:left="880" w:hanging="872"/>
        <w:spacing w:after="0"/>
        <w:tabs>
          <w:tab w:leader="none" w:pos="8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DIRECTOR´S REMUNERATION</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statutory director did not receive any remuneration in respect of his services rendered to the Company during the years 2024 and 2023.</w:t>
      </w:r>
    </w:p>
    <w:p>
      <w:pPr>
        <w:spacing w:after="0" w:line="212" w:lineRule="exact"/>
        <w:rPr>
          <w:sz w:val="20"/>
          <w:szCs w:val="20"/>
          <w:color w:val="auto"/>
        </w:rPr>
      </w:pPr>
    </w:p>
    <w:p>
      <w:pPr>
        <w:ind w:left="880" w:hanging="872"/>
        <w:spacing w:after="0"/>
        <w:tabs>
          <w:tab w:leader="none" w:pos="8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JUDGMENTS AND ESTIMATES</w:t>
      </w:r>
    </w:p>
    <w:p>
      <w:pPr>
        <w:spacing w:after="0" w:line="219" w:lineRule="exact"/>
        <w:rPr>
          <w:sz w:val="20"/>
          <w:szCs w:val="20"/>
          <w:color w:val="auto"/>
        </w:rPr>
      </w:pPr>
    </w:p>
    <w:p>
      <w:pPr>
        <w:ind w:left="720" w:right="20"/>
        <w:spacing w:after="0" w:line="282" w:lineRule="auto"/>
        <w:rPr>
          <w:sz w:val="20"/>
          <w:szCs w:val="20"/>
          <w:color w:val="auto"/>
        </w:rPr>
      </w:pPr>
      <w:r>
        <w:rPr>
          <w:rFonts w:ascii="Times New Roman" w:cs="Times New Roman" w:eastAsia="Times New Roman" w:hAnsi="Times New Roman"/>
          <w:sz w:val="18"/>
          <w:szCs w:val="18"/>
          <w:color w:val="auto"/>
        </w:rPr>
        <w:t>When preparing the financial statements, the Company’s management uses judgments and estimates. These judgments and estimates affect the recognition and value of assets, liabilities, income, expenses and the information given in the notes.</w:t>
      </w:r>
    </w:p>
    <w:p>
      <w:pPr>
        <w:spacing w:after="0" w:line="158" w:lineRule="exact"/>
        <w:rPr>
          <w:sz w:val="20"/>
          <w:szCs w:val="20"/>
          <w:color w:val="auto"/>
        </w:rPr>
      </w:pPr>
    </w:p>
    <w:p>
      <w:pPr>
        <w:ind w:left="720" w:hanging="712"/>
        <w:spacing w:after="0"/>
        <w:tabs>
          <w:tab w:leader="none" w:pos="7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the following material transactions with related parties during the year:</w:t>
      </w:r>
    </w:p>
    <w:p>
      <w:pPr>
        <w:spacing w:after="0" w:line="248"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provided services</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71 049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72 770</w:t>
            </w:r>
          </w:p>
        </w:tc>
      </w:tr>
      <w:tr>
        <w:trPr>
          <w:trHeight w:val="216"/>
        </w:trPr>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fees paid</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(1 379)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(1 040)</w:t>
            </w:r>
          </w:p>
        </w:tc>
      </w:tr>
      <w:tr>
        <w:trPr>
          <w:trHeight w:val="216"/>
        </w:trPr>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947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bl>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1000" w:hanging="27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provided to a related party were based on the direct costs incurred, plus a mark-up of 5%.</w:t>
      </w:r>
    </w:p>
    <w:p>
      <w:pPr>
        <w:spacing w:after="0" w:line="9" w:lineRule="exact"/>
        <w:rPr>
          <w:rFonts w:ascii="Times New Roman" w:cs="Times New Roman" w:eastAsia="Times New Roman" w:hAnsi="Times New Roman"/>
          <w:sz w:val="18"/>
          <w:szCs w:val="18"/>
          <w:color w:val="auto"/>
        </w:rPr>
      </w:pPr>
    </w:p>
    <w:p>
      <w:pPr>
        <w:ind w:left="1000" w:hanging="27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fees provided by a related party were based on the market price.</w:t>
      </w:r>
    </w:p>
    <w:p>
      <w:pPr>
        <w:spacing w:after="0" w:line="9" w:lineRule="exact"/>
        <w:rPr>
          <w:sz w:val="20"/>
          <w:szCs w:val="20"/>
          <w:color w:val="auto"/>
        </w:rPr>
      </w:pPr>
    </w:p>
    <w:p>
      <w:pPr>
        <w:ind w:left="1000" w:right="420" w:hanging="269"/>
        <w:spacing w:after="0" w:line="260" w:lineRule="auto"/>
        <w:rPr>
          <w:sz w:val="20"/>
          <w:szCs w:val="20"/>
          <w:color w:val="auto"/>
        </w:rPr>
      </w:pPr>
      <w:r>
        <w:rPr>
          <w:rFonts w:ascii="Times New Roman" w:cs="Times New Roman" w:eastAsia="Times New Roman" w:hAnsi="Times New Roman"/>
          <w:sz w:val="18"/>
          <w:szCs w:val="18"/>
          <w:color w:val="auto"/>
        </w:rPr>
        <w:t>(iii)Interest income on a loan provided to a related party, the interest rate (p.a.) on the loan was 1.5%. Details of the loan are included in the note 7 to the financial statements.</w:t>
      </w:r>
    </w:p>
    <w:p>
      <w:pPr>
        <w:spacing w:after="0" w:line="195" w:lineRule="exact"/>
        <w:rPr>
          <w:sz w:val="20"/>
          <w:szCs w:val="20"/>
          <w:color w:val="auto"/>
        </w:rPr>
      </w:pPr>
    </w:p>
    <w:p>
      <w:pPr>
        <w:ind w:left="880" w:hanging="872"/>
        <w:spacing w:after="0"/>
        <w:tabs>
          <w:tab w:leader="none" w:pos="8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FINANCIAL RISK MANAGEMENT OBJECTIVES AND POLICIES</w:t>
      </w:r>
    </w:p>
    <w:p>
      <w:pPr>
        <w:spacing w:after="0" w:line="246"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The Company’s exposure to market risk (including interest rate risk and foreign currency risk), credit risk and liquidity risk arises in the normal course of its business. These risks are managed by the Company’s financial management policies and practices described below:</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9" w:lineRule="exact"/>
        <w:rPr>
          <w:sz w:val="20"/>
          <w:szCs w:val="20"/>
          <w:color w:val="auto"/>
        </w:rPr>
      </w:pPr>
    </w:p>
    <w:p>
      <w:pPr>
        <w:jc w:val="both"/>
        <w:ind w:left="720"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that the counterparty fails to keep their obligations resulting in the financial loss of the Company. The Company primarily minimises this risk by screening its counterparties, whereby currently the Company provides services primarily to a reliable related party.</w:t>
      </w:r>
    </w:p>
    <w:p>
      <w:pPr>
        <w:spacing w:after="0" w:line="181"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Also the loan is provided exclusively to a company within the group (related party). Total credit risk is represented by the data presented for financial assets (loans and receivables) in the balance sheet.</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Liquidity risk is the risk that financial liabilities cannot be settled at the time they are payable. An important aspect in managing the liquidity risk is to secure necessary cash position to be able to pay the Company’s financial liabilities when they are due. The Company manages its liquidity position by monitoring expected and actual cash inflows and outflows on a regular basis.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880" w:hanging="872"/>
        <w:spacing w:after="0"/>
        <w:tabs>
          <w:tab w:leader="none" w:pos="88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FINANCIAL RISK MANAGEMENT OBJECTIVES AND POLICIES </w:t>
      </w:r>
      <w:r>
        <w:rPr>
          <w:rFonts w:ascii="Times New Roman" w:cs="Times New Roman" w:eastAsia="Times New Roman" w:hAnsi="Times New Roman"/>
          <w:sz w:val="22"/>
          <w:szCs w:val="22"/>
          <w:color w:val="auto"/>
        </w:rPr>
        <w:t>(continued)</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rate risk is the risk that the Company's position may be adversely affected by a change of market interest rates.</w:t>
      </w:r>
    </w:p>
    <w:p>
      <w:pPr>
        <w:spacing w:after="0" w:line="207" w:lineRule="exact"/>
        <w:rPr>
          <w:sz w:val="20"/>
          <w:szCs w:val="20"/>
          <w:color w:val="auto"/>
        </w:rPr>
      </w:pPr>
    </w:p>
    <w:p>
      <w:pPr>
        <w:jc w:val="both"/>
        <w:ind w:left="720"/>
        <w:spacing w:after="0" w:line="312" w:lineRule="auto"/>
        <w:rPr>
          <w:sz w:val="20"/>
          <w:szCs w:val="20"/>
          <w:color w:val="auto"/>
        </w:rPr>
      </w:pPr>
      <w:r>
        <w:rPr>
          <w:rFonts w:ascii="Times New Roman" w:cs="Times New Roman" w:eastAsia="Times New Roman" w:hAnsi="Times New Roman"/>
          <w:sz w:val="17"/>
          <w:szCs w:val="17"/>
          <w:color w:val="auto"/>
        </w:rPr>
        <w:t>Except for the loan provided to a related party (ref.to note 7 above), where the interest rate risk is managed on the group level, the cash at bank balances and all the financial instruments of the Company were non-interest bearing, thus management considers that the exposure to interest rate risk is minimal.</w:t>
      </w:r>
    </w:p>
    <w:p>
      <w:pPr>
        <w:spacing w:after="0" w:line="1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Currency risk is a subset of market risk, when the value of assets and liabilities is denominated in a foreign currency and may be affected by a change in the exchange rate. The revenues are denominated in US dollars, however given the transfer-pricing scheme with the related party, the Company effectively does not bear the currency risk on its revenues as the scheme ensures that all the Company's cost are reimbursed.</w:t>
      </w:r>
    </w:p>
    <w:p>
      <w:pPr>
        <w:spacing w:after="0" w:line="186"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On the other hand, the Company is exposed to FX risk on translation of the loan provided to a related party, where the unrealized FX gains or losses flow in the Statement of Profit or Loss for the year, depending on the FX rate CZK / USD as of the year end.</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9"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8"/>
          <w:szCs w:val="18"/>
          <w:color w:val="auto"/>
        </w:rPr>
        <w:t>The Company operates exclusively in the business of IT development in the gaming industry and provides services primarily to related parties within the ANIMOCA group. This risk is managed on the ANIMOCA group level, not at the Gamee Mobile s.r.o. level.</w:t>
      </w:r>
    </w:p>
    <w:p>
      <w:pPr>
        <w:spacing w:after="0" w:line="195" w:lineRule="exact"/>
        <w:rPr>
          <w:sz w:val="20"/>
          <w:szCs w:val="20"/>
          <w:color w:val="auto"/>
        </w:rPr>
      </w:pPr>
    </w:p>
    <w:p>
      <w:pPr>
        <w:ind w:left="880" w:hanging="872"/>
        <w:spacing w:after="0"/>
        <w:tabs>
          <w:tab w:leader="none" w:pos="88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SUBSEQUENT EVENTS</w:t>
      </w:r>
    </w:p>
    <w:p>
      <w:pPr>
        <w:spacing w:after="0" w:line="246" w:lineRule="exact"/>
        <w:rPr>
          <w:sz w:val="20"/>
          <w:szCs w:val="20"/>
          <w:color w:val="auto"/>
        </w:rPr>
      </w:pPr>
    </w:p>
    <w:p>
      <w:pPr>
        <w:ind w:left="720" w:right="20"/>
        <w:spacing w:after="0" w:line="282" w:lineRule="auto"/>
        <w:rPr>
          <w:sz w:val="20"/>
          <w:szCs w:val="20"/>
          <w:color w:val="auto"/>
        </w:rPr>
      </w:pPr>
      <w:r>
        <w:rPr>
          <w:rFonts w:ascii="Times New Roman" w:cs="Times New Roman" w:eastAsia="Times New Roman" w:hAnsi="Times New Roman"/>
          <w:sz w:val="18"/>
          <w:szCs w:val="18"/>
          <w:color w:val="auto"/>
        </w:rPr>
        <w:t>No events that could have a significant impact on the financial position of the Company occurred between the balance sheet date and the date of financial statements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March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 Robert William Hong-San Yung</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 Martin Zakovec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Robert William Hong-San Yung</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Martin Zakovec</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040" w:type="dxa"/>
            <w:vAlign w:val="bottom"/>
          </w:tcPr>
          <w:p>
            <w:pPr>
              <w:spacing w:after="0"/>
              <w:rPr>
                <w:sz w:val="24"/>
                <w:szCs w:val="24"/>
                <w:color w:val="auto"/>
              </w:rPr>
            </w:pPr>
          </w:p>
        </w:tc>
        <w:tc>
          <w:tcPr>
            <w:tcW w:w="72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14</w:t>
            </w:r>
          </w:p>
        </w:tc>
      </w:tr>
      <w:tr>
        <w:trPr>
          <w:trHeight w:val="68"/>
        </w:trPr>
        <w:tc>
          <w:tcPr>
            <w:tcW w:w="4040" w:type="dxa"/>
            <w:vAlign w:val="bottom"/>
            <w:shd w:val="clear" w:color="auto" w:fill="000000"/>
          </w:tcPr>
          <w:p>
            <w:pPr>
              <w:spacing w:after="0"/>
              <w:rPr>
                <w:sz w:val="5"/>
                <w:szCs w:val="5"/>
                <w:color w:val="auto"/>
              </w:rPr>
            </w:pPr>
          </w:p>
        </w:tc>
        <w:tc>
          <w:tcPr>
            <w:tcW w:w="7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82" w:name="page83"/>
    <w:bookmarkEnd w:id="82"/>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Gamee Mobile s.r.o.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Financial Statements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and 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517525</wp:posOffset>
            </wp:positionV>
            <wp:extent cx="985520" cy="771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ectPr>
          <w:pgSz w:w="11900" w:h="16838" w:orient="portrait"/>
          <w:cols w:equalWidth="0" w:num="1">
            <w:col w:w="11160"/>
          </w:cols>
          <w:pgMar w:left="320" w:top="1440" w:right="4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 and Directors of </w:t>
      </w:r>
      <w:r>
        <w:rPr>
          <w:rFonts w:ascii="Times New Roman" w:cs="Times New Roman" w:eastAsia="Times New Roman" w:hAnsi="Times New Roman"/>
          <w:sz w:val="18"/>
          <w:szCs w:val="18"/>
          <w:b w:val="1"/>
          <w:bCs w:val="1"/>
          <w:color w:val="auto"/>
        </w:rPr>
        <w:t>Gamee Mobile s.r.o.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of the Company: Gamee Mobile s.r.o.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29103746</w:t>
      </w:r>
    </w:p>
    <w:p>
      <w:pPr>
        <w:spacing w:after="0" w:line="27" w:lineRule="exact"/>
        <w:rPr>
          <w:sz w:val="20"/>
          <w:szCs w:val="20"/>
          <w:color w:val="auto"/>
        </w:rPr>
      </w:pPr>
    </w:p>
    <w:p>
      <w:pPr>
        <w:ind w:right="1200"/>
        <w:spacing w:after="0" w:line="250" w:lineRule="auto"/>
        <w:rPr>
          <w:sz w:val="20"/>
          <w:szCs w:val="20"/>
          <w:color w:val="auto"/>
        </w:rPr>
      </w:pPr>
      <w:r>
        <w:rPr>
          <w:rFonts w:ascii="Times New Roman" w:cs="Times New Roman" w:eastAsia="Times New Roman" w:hAnsi="Times New Roman"/>
          <w:sz w:val="18"/>
          <w:szCs w:val="18"/>
          <w:color w:val="auto"/>
        </w:rPr>
        <w:t>Rašínovo nábřeží 71/10, 128 00 Prague 2, Czech Republic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281545, Trade Register Court Prague</w:t>
      </w:r>
    </w:p>
    <w:p>
      <w:pPr>
        <w:spacing w:after="0" w:line="200" w:lineRule="exact"/>
        <w:rPr>
          <w:sz w:val="20"/>
          <w:szCs w:val="20"/>
          <w:color w:val="auto"/>
        </w:rPr>
      </w:pPr>
    </w:p>
    <w:p>
      <w:pPr>
        <w:sectPr>
          <w:pgSz w:w="11900" w:h="16838" w:orient="portrait"/>
          <w:cols w:equalWidth="0" w:num="2">
            <w:col w:w="5020" w:space="720"/>
            <w:col w:w="5420"/>
          </w:cols>
          <w:pgMar w:left="320" w:top="1440" w:right="41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have audited the financial statements of Gamee Mobile s.r.o. ("the Company"), which comprise the balance sheet as of 31 December 2025, and the related statement of income, changes in stockholders' equity and cash flows for the year then ended, and the related notes to the financial statements.</w:t>
      </w:r>
    </w:p>
    <w:p>
      <w:pPr>
        <w:spacing w:after="0" w:line="3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31 December 2025, and the results of its operations and its cash flows for the year then ended in accordance with International Financial Reporting Standards („IFRS").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and in accordance with International Standards on Auditing (ISAs).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which include relevant ethical requirements in the United States of America and the International Ethics Standards Board for Accountants' Code of Ethics for Professional Accountants. We believe that the audit evidence we have obtained is sufficient and appropriate to provide a basis for our audit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and Those Charged with Governance for the Financial Statements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International Financial Reporting Standards, and for the design, implementation and maintenance of internal control relevant to the preparation and fair presentation of financial statements that are free from material misstatement, whether due to fraud or error.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TPA Audit s.r.o.</w:t>
      </w:r>
    </w:p>
    <w:p>
      <w:pPr>
        <w:spacing w:after="0" w:line="226" w:lineRule="auto"/>
        <w:rPr>
          <w:sz w:val="20"/>
          <w:szCs w:val="20"/>
          <w:color w:val="auto"/>
        </w:rPr>
      </w:pPr>
      <w:r>
        <w:rPr>
          <w:rFonts w:ascii="Times New Roman" w:cs="Times New Roman" w:eastAsia="Times New Roman" w:hAnsi="Times New Roman"/>
          <w:sz w:val="14"/>
          <w:szCs w:val="14"/>
          <w:color w:val="auto"/>
        </w:rPr>
        <w:t>140 00 Prague 4, Antala Staška 2027/79</w:t>
      </w:r>
    </w:p>
    <w:p>
      <w:pPr>
        <w:spacing w:after="0" w:line="222" w:lineRule="auto"/>
        <w:rPr>
          <w:sz w:val="20"/>
          <w:szCs w:val="20"/>
          <w:color w:val="auto"/>
        </w:rPr>
      </w:pPr>
      <w:r>
        <w:rPr>
          <w:rFonts w:ascii="Times New Roman" w:cs="Times New Roman" w:eastAsia="Times New Roman" w:hAnsi="Times New Roman"/>
          <w:sz w:val="14"/>
          <w:szCs w:val="14"/>
          <w:color w:val="auto"/>
        </w:rPr>
        <w:t>Tel.: +420 222 826 311, E-mail: audit@tpa-group.cz, www.tpa-group.cz</w:t>
      </w:r>
    </w:p>
    <w:p>
      <w:pPr>
        <w:spacing w:after="0" w:line="221" w:lineRule="auto"/>
        <w:rPr>
          <w:sz w:val="20"/>
          <w:szCs w:val="20"/>
          <w:color w:val="auto"/>
        </w:rPr>
      </w:pPr>
      <w:r>
        <w:rPr>
          <w:rFonts w:ascii="Times New Roman" w:cs="Times New Roman" w:eastAsia="Times New Roman" w:hAnsi="Times New Roman"/>
          <w:sz w:val="14"/>
          <w:szCs w:val="14"/>
          <w:color w:val="auto"/>
        </w:rPr>
        <w:t>Branches: 746 01 Opava, Veleslavinova 240/8, 703 00 Ostrava, Ruská 83/24</w:t>
      </w:r>
    </w:p>
    <w:p>
      <w:pPr>
        <w:spacing w:after="0" w:line="221" w:lineRule="auto"/>
        <w:rPr>
          <w:sz w:val="20"/>
          <w:szCs w:val="20"/>
          <w:color w:val="auto"/>
        </w:rPr>
      </w:pPr>
      <w:r>
        <w:rPr>
          <w:rFonts w:ascii="Times New Roman" w:cs="Times New Roman" w:eastAsia="Times New Roman" w:hAnsi="Times New Roman"/>
          <w:sz w:val="14"/>
          <w:szCs w:val="14"/>
          <w:color w:val="auto"/>
        </w:rPr>
        <w:t>ID: 60203480, Certificate no. 80 of the Chamber of Auditors of the Czech Republic,</w:t>
      </w:r>
    </w:p>
    <w:p>
      <w:pPr>
        <w:spacing w:after="0" w:line="222" w:lineRule="auto"/>
        <w:rPr>
          <w:sz w:val="20"/>
          <w:szCs w:val="20"/>
          <w:color w:val="auto"/>
        </w:rPr>
      </w:pPr>
      <w:r>
        <w:rPr>
          <w:rFonts w:ascii="Times New Roman" w:cs="Times New Roman" w:eastAsia="Times New Roman" w:hAnsi="Times New Roman"/>
          <w:sz w:val="14"/>
          <w:szCs w:val="14"/>
          <w:color w:val="auto"/>
        </w:rPr>
        <w:t>Municipal Court in Prague, file no. C.25463</w:t>
      </w:r>
    </w:p>
    <w:p>
      <w:pPr>
        <w:spacing w:after="0" w:line="221" w:lineRule="auto"/>
        <w:rPr>
          <w:sz w:val="20"/>
          <w:szCs w:val="20"/>
          <w:color w:val="auto"/>
        </w:rPr>
      </w:pPr>
      <w:r>
        <w:rPr>
          <w:rFonts w:ascii="Times New Roman" w:cs="Times New Roman" w:eastAsia="Times New Roman" w:hAnsi="Times New Roman"/>
          <w:sz w:val="14"/>
          <w:szCs w:val="14"/>
          <w:color w:val="auto"/>
        </w:rPr>
        <w:t>Albania | Austria | Bulgaria | Croatia | Czech Republic | Hungary</w:t>
      </w:r>
    </w:p>
    <w:p>
      <w:pPr>
        <w:spacing w:after="0"/>
        <w:rPr>
          <w:sz w:val="20"/>
          <w:szCs w:val="20"/>
          <w:color w:val="auto"/>
        </w:rPr>
      </w:pPr>
      <w:r>
        <w:rPr>
          <w:rFonts w:ascii="Times New Roman" w:cs="Times New Roman" w:eastAsia="Times New Roman" w:hAnsi="Times New Roman"/>
          <w:sz w:val="14"/>
          <w:szCs w:val="14"/>
          <w:color w:val="auto"/>
        </w:rPr>
        <w:t>Montenegro | Poland | Romania | Serbia | Slovakia | Slovenia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517525</wp:posOffset>
            </wp:positionV>
            <wp:extent cx="985520" cy="771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and Those Charged with Governance for the Financial Statements (continued)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a reasonable period of time; to disclose, as applicable, matters related to going concern; and to use the going concern basis of accounting unless management either intends to liquidate the Company or to cease operations, or has no realistic alternative but to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charged with governance are responsible for overseeing the Company's financial reporting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and ISAs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and ISAs, we:</w:t>
      </w:r>
    </w:p>
    <w:p>
      <w:pPr>
        <w:spacing w:after="0" w:line="225" w:lineRule="exact"/>
        <w:rPr>
          <w:sz w:val="20"/>
          <w:szCs w:val="20"/>
          <w:color w:val="auto"/>
        </w:rPr>
      </w:pPr>
    </w:p>
    <w:p>
      <w:pPr>
        <w:ind w:left="720" w:hanging="334"/>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52" w:lineRule="exact"/>
        <w:rPr>
          <w:rFonts w:ascii="Times New Roman" w:cs="Times New Roman" w:eastAsia="Times New Roman" w:hAnsi="Times New Roman"/>
          <w:sz w:val="18"/>
          <w:szCs w:val="18"/>
          <w:color w:val="auto"/>
        </w:rPr>
      </w:pPr>
    </w:p>
    <w:p>
      <w:pPr>
        <w:ind w:left="720" w:right="200" w:hanging="334"/>
        <w:spacing w:after="0" w:line="266"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02" w:lineRule="exact"/>
        <w:rPr>
          <w:rFonts w:ascii="Times New Roman" w:cs="Times New Roman" w:eastAsia="Times New Roman" w:hAnsi="Times New Roman"/>
          <w:sz w:val="18"/>
          <w:szCs w:val="18"/>
          <w:color w:val="auto"/>
        </w:rPr>
      </w:pPr>
    </w:p>
    <w:p>
      <w:pPr>
        <w:ind w:left="720" w:right="40" w:hanging="334"/>
        <w:spacing w:after="0" w:line="275"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720" w:right="340" w:hanging="334"/>
        <w:spacing w:after="0" w:line="282"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88" w:lineRule="exact"/>
        <w:rPr>
          <w:rFonts w:ascii="Times New Roman" w:cs="Times New Roman" w:eastAsia="Times New Roman" w:hAnsi="Times New Roman"/>
          <w:sz w:val="18"/>
          <w:szCs w:val="18"/>
          <w:color w:val="auto"/>
        </w:rPr>
      </w:pPr>
    </w:p>
    <w:p>
      <w:pPr>
        <w:ind w:left="720" w:right="140" w:hanging="334"/>
        <w:spacing w:after="0" w:line="282"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8" w:lineRule="exact"/>
        <w:rPr>
          <w:rFonts w:ascii="Times New Roman" w:cs="Times New Roman" w:eastAsia="Times New Roman" w:hAnsi="Times New Roman"/>
          <w:sz w:val="18"/>
          <w:szCs w:val="18"/>
          <w:color w:val="auto"/>
        </w:rPr>
      </w:pPr>
    </w:p>
    <w:p>
      <w:pPr>
        <w:ind w:left="720" w:right="40" w:hanging="334"/>
        <w:spacing w:after="0" w:line="282"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378" w:lineRule="exact"/>
        <w:rPr>
          <w:sz w:val="20"/>
          <w:szCs w:val="20"/>
          <w:color w:val="auto"/>
        </w:rPr>
      </w:pPr>
    </w:p>
    <w:p>
      <w:pPr>
        <w:spacing w:after="0"/>
        <w:tabs>
          <w:tab w:leader="none" w:pos="10280" w:val="left"/>
        </w:tabs>
        <w:rPr>
          <w:sz w:val="20"/>
          <w:szCs w:val="20"/>
          <w:color w:val="auto"/>
        </w:rPr>
      </w:pPr>
      <w:r>
        <w:rPr>
          <w:rFonts w:ascii="Times New Roman" w:cs="Times New Roman" w:eastAsia="Times New Roman" w:hAnsi="Times New Roman"/>
          <w:sz w:val="18"/>
          <w:szCs w:val="18"/>
          <w:color w:val="auto"/>
        </w:rPr>
        <w:t>TPA Audit s.r.o.</w:t>
      </w:r>
      <w:r>
        <w:rPr>
          <w:sz w:val="20"/>
          <w:szCs w:val="20"/>
          <w:color w:val="auto"/>
        </w:rPr>
        <w:tab/>
      </w:r>
      <w:r>
        <w:rPr>
          <w:rFonts w:ascii="Times New Roman" w:cs="Times New Roman" w:eastAsia="Times New Roman" w:hAnsi="Times New Roman"/>
          <w:sz w:val="17"/>
          <w:szCs w:val="17"/>
          <w:color w:val="auto"/>
        </w:rPr>
        <w:t>Stránka 2 z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380365</wp:posOffset>
            </wp:positionV>
            <wp:extent cx="985520" cy="771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985520" cy="77152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 (continued)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Prague, Czech Republic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May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Pavel Pražák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Pražák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No. 1968 KAČR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TPA Audit s.r.o.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TPA Audit s.r.o.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Antala Staška 2027/79, Praha 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080 KAČR</w:t>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0280" w:val="left"/>
        </w:tabs>
        <w:rPr>
          <w:sz w:val="20"/>
          <w:szCs w:val="20"/>
          <w:color w:val="auto"/>
        </w:rPr>
      </w:pPr>
      <w:r>
        <w:rPr>
          <w:rFonts w:ascii="Times New Roman" w:cs="Times New Roman" w:eastAsia="Times New Roman" w:hAnsi="Times New Roman"/>
          <w:sz w:val="18"/>
          <w:szCs w:val="18"/>
          <w:color w:val="auto"/>
        </w:rPr>
        <w:t>TPA Audit s.r.o.</w:t>
      </w:r>
      <w:r>
        <w:rPr>
          <w:sz w:val="20"/>
          <w:szCs w:val="20"/>
          <w:color w:val="auto"/>
        </w:rPr>
        <w:tab/>
      </w:r>
      <w:r>
        <w:rPr>
          <w:rFonts w:ascii="Times New Roman" w:cs="Times New Roman" w:eastAsia="Times New Roman" w:hAnsi="Times New Roman"/>
          <w:sz w:val="17"/>
          <w:szCs w:val="17"/>
          <w:color w:val="auto"/>
        </w:rPr>
        <w:t>Stránka 2 z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w:t>
            </w:r>
          </w:p>
        </w:tc>
        <w:tc>
          <w:tcPr>
            <w:tcW w:w="4140" w:type="dxa"/>
            <w:vAlign w:val="bottom"/>
            <w:vMerge w:val="restart"/>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414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4140" w:type="dxa"/>
            <w:vAlign w:val="bottom"/>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76 958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73 891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4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351</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77 309</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73 891</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provided services</w:t>
            </w:r>
          </w:p>
        </w:tc>
        <w:tc>
          <w:tcPr>
            <w:tcW w:w="4140" w:type="dxa"/>
            <w:vAlign w:val="bottom"/>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88"/>
              </w:rPr>
              <w:t>4</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59 188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59 666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costs</w:t>
            </w:r>
          </w:p>
        </w:tc>
        <w:tc>
          <w:tcPr>
            <w:tcW w:w="414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w w:val="88"/>
              </w:rPr>
              <w:t>4</w:t>
            </w: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10 610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8 957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4140" w:type="dxa"/>
            <w:vAlign w:val="bottom"/>
            <w:tcBorders>
              <w:bottom w:val="single" w:sz="8" w:color="auto"/>
            </w:tcBorders>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88"/>
              </w:rPr>
              <w:t>4</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1 581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1 773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w:t>
            </w:r>
          </w:p>
        </w:tc>
        <w:tc>
          <w:tcPr>
            <w:tcW w:w="4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5 930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3 495</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886</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4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 – net (cost (+) / income (-))</w:t>
            </w:r>
          </w:p>
        </w:tc>
        <w:tc>
          <w:tcPr>
            <w:tcW w:w="4140" w:type="dxa"/>
            <w:vAlign w:val="bottom"/>
            <w:tcBorders>
              <w:bottom w:val="single" w:sz="8" w:color="auto"/>
            </w:tcBorders>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88"/>
              </w:rPr>
              <w:t>5</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(12 219)</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5 393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4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(11 374)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6 266</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or loss before tax</w:t>
            </w:r>
          </w:p>
        </w:tc>
        <w:tc>
          <w:tcPr>
            <w:tcW w:w="4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(5 444)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9 761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4140" w:type="dxa"/>
            <w:vAlign w:val="bottom"/>
            <w:tcBorders>
              <w:bottom w:val="single" w:sz="8" w:color="auto"/>
            </w:tcBorders>
          </w:tcPr>
          <w:p>
            <w:pPr>
              <w:jc w:val="center"/>
              <w:ind w:left="2770"/>
              <w:spacing w:after="0"/>
              <w:rPr>
                <w:sz w:val="20"/>
                <w:szCs w:val="20"/>
                <w:color w:val="auto"/>
              </w:rPr>
            </w:pPr>
            <w:r>
              <w:rPr>
                <w:rFonts w:ascii="Times New Roman" w:cs="Times New Roman" w:eastAsia="Times New Roman" w:hAnsi="Times New Roman"/>
                <w:sz w:val="18"/>
                <w:szCs w:val="18"/>
                <w:color w:val="auto"/>
                <w:w w:val="88"/>
              </w:rPr>
              <w:t>6</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result after tax</w:t>
            </w:r>
          </w:p>
        </w:tc>
        <w:tc>
          <w:tcPr>
            <w:tcW w:w="4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(5 408)</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9 035</w:t>
            </w:r>
          </w:p>
        </w:tc>
        <w:tc>
          <w:tcPr>
            <w:tcW w:w="0" w:type="dxa"/>
            <w:vAlign w:val="bottom"/>
          </w:tcPr>
          <w:p>
            <w:pPr>
              <w:spacing w:after="0"/>
              <w:rPr>
                <w:sz w:val="1"/>
                <w:szCs w:val="1"/>
                <w:color w:val="auto"/>
              </w:rPr>
            </w:pPr>
          </w:p>
        </w:tc>
      </w:tr>
      <w:tr>
        <w:trPr>
          <w:trHeight w:val="169"/>
        </w:trPr>
        <w:tc>
          <w:tcPr>
            <w:tcW w:w="4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Profit for the year and total comprehensive income</w:t>
            </w:r>
          </w:p>
        </w:tc>
        <w:tc>
          <w:tcPr>
            <w:tcW w:w="4140" w:type="dxa"/>
            <w:vAlign w:val="bottom"/>
          </w:tcPr>
          <w:p>
            <w:pPr>
              <w:spacing w:after="0"/>
              <w:rPr>
                <w:sz w:val="14"/>
                <w:szCs w:val="14"/>
                <w:color w:val="auto"/>
              </w:rPr>
            </w:pPr>
          </w:p>
        </w:tc>
        <w:tc>
          <w:tcPr>
            <w:tcW w:w="142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(5 408)</w:t>
            </w:r>
          </w:p>
        </w:tc>
        <w:tc>
          <w:tcPr>
            <w:tcW w:w="94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b w:val="1"/>
                <w:bCs w:val="1"/>
                <w:color w:val="auto"/>
              </w:rPr>
              <w:t>9 035</w:t>
            </w:r>
          </w:p>
        </w:tc>
        <w:tc>
          <w:tcPr>
            <w:tcW w:w="0" w:type="dxa"/>
            <w:vAlign w:val="bottom"/>
          </w:tcPr>
          <w:p>
            <w:pPr>
              <w:spacing w:after="0"/>
              <w:rPr>
                <w:sz w:val="1"/>
                <w:szCs w:val="1"/>
                <w:color w:val="auto"/>
              </w:rPr>
            </w:pPr>
          </w:p>
        </w:tc>
      </w:tr>
      <w:tr>
        <w:trPr>
          <w:trHeight w:val="34"/>
        </w:trPr>
        <w:tc>
          <w:tcPr>
            <w:tcW w:w="392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4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14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31 December</w:t>
            </w:r>
          </w:p>
        </w:tc>
        <w:tc>
          <w:tcPr>
            <w:tcW w:w="4440" w:type="dxa"/>
            <w:vAlign w:val="bottom"/>
            <w:vMerge w:val="restart"/>
          </w:tcPr>
          <w:p>
            <w:pPr>
              <w:ind w:left="36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31.12.2025</w:t>
            </w: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31.12.2024</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444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w:t>
            </w:r>
          </w:p>
        </w:tc>
        <w:tc>
          <w:tcPr>
            <w:tcW w:w="44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69 414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2 821</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3 462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44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2 821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72 876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440" w:type="dxa"/>
            <w:vAlign w:val="bottom"/>
            <w:shd w:val="clear" w:color="auto" w:fill="CCEEFF"/>
          </w:tcPr>
          <w:p>
            <w:pPr>
              <w:jc w:val="center"/>
              <w:ind w:left="309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18 751</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12 733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(related party)</w:t>
            </w:r>
          </w:p>
        </w:tc>
        <w:tc>
          <w:tcPr>
            <w:tcW w:w="444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59 925</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2 938</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3 201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and bank balance</w:t>
            </w:r>
          </w:p>
        </w:tc>
        <w:tc>
          <w:tcPr>
            <w:tcW w:w="444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13 261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16 970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94 875</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32 904</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97 696</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105 780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444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31.12.2025</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31.12.2024</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4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funds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118 063</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118 063</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(38 829)</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(33 386)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79 705</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85 148</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 -term</w:t>
            </w:r>
          </w:p>
        </w:tc>
        <w:tc>
          <w:tcPr>
            <w:tcW w:w="44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146</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1 069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146</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1 069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Advances received</w:t>
            </w:r>
          </w:p>
        </w:tc>
        <w:tc>
          <w:tcPr>
            <w:tcW w:w="44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10 471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12 278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4 707</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4 497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short-term</w:t>
            </w:r>
          </w:p>
        </w:tc>
        <w:tc>
          <w:tcPr>
            <w:tcW w:w="44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871</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1 795</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2 006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40" w:type="dxa"/>
            <w:vAlign w:val="bottom"/>
            <w:tcBorders>
              <w:bottom w:val="single" w:sz="8" w:color="auto"/>
            </w:tcBorders>
          </w:tcPr>
          <w:p>
            <w:pPr>
              <w:jc w:val="center"/>
              <w:ind w:left="3090"/>
              <w:spacing w:after="0"/>
              <w:rPr>
                <w:sz w:val="20"/>
                <w:szCs w:val="20"/>
                <w:color w:val="auto"/>
              </w:rPr>
            </w:pPr>
            <w:r>
              <w:rPr>
                <w:rFonts w:ascii="Times New Roman" w:cs="Times New Roman" w:eastAsia="Times New Roman" w:hAnsi="Times New Roman"/>
                <w:sz w:val="18"/>
                <w:szCs w:val="18"/>
                <w:color w:val="auto"/>
                <w:w w:val="99"/>
              </w:rPr>
              <w:t>11</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17 844</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19 563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17 990</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20 632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97 696</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105 780</w:t>
            </w:r>
          </w:p>
        </w:tc>
        <w:tc>
          <w:tcPr>
            <w:tcW w:w="0" w:type="dxa"/>
            <w:vAlign w:val="bottom"/>
          </w:tcPr>
          <w:p>
            <w:pPr>
              <w:spacing w:after="0"/>
              <w:rPr>
                <w:sz w:val="1"/>
                <w:szCs w:val="1"/>
                <w:color w:val="auto"/>
              </w:rPr>
            </w:pPr>
          </w:p>
        </w:tc>
      </w:tr>
      <w:tr>
        <w:trPr>
          <w:trHeight w:val="533"/>
        </w:trPr>
        <w:tc>
          <w:tcPr>
            <w:tcW w:w="4040" w:type="dxa"/>
            <w:vAlign w:val="bottom"/>
          </w:tcPr>
          <w:p>
            <w:pPr>
              <w:spacing w:after="0"/>
              <w:rPr>
                <w:sz w:val="24"/>
                <w:szCs w:val="24"/>
                <w:color w:val="auto"/>
              </w:rPr>
            </w:pPr>
          </w:p>
        </w:tc>
        <w:tc>
          <w:tcPr>
            <w:tcW w:w="44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40" w:type="dxa"/>
            <w:vAlign w:val="bottom"/>
            <w:shd w:val="clear" w:color="auto" w:fill="000000"/>
          </w:tcPr>
          <w:p>
            <w:pPr>
              <w:spacing w:after="0"/>
              <w:rPr>
                <w:sz w:val="5"/>
                <w:szCs w:val="5"/>
                <w:color w:val="auto"/>
              </w:rPr>
            </w:pPr>
          </w:p>
        </w:tc>
        <w:tc>
          <w:tcPr>
            <w:tcW w:w="444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w:t>
            </w:r>
          </w:p>
        </w:tc>
        <w:tc>
          <w:tcPr>
            <w:tcW w:w="33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33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3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(5 444)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9 761</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w:t>
            </w:r>
          </w:p>
        </w:tc>
        <w:tc>
          <w:tcPr>
            <w:tcW w:w="3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3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Unrealised FX gains on translation of loan to mother company</w:t>
            </w:r>
          </w:p>
        </w:tc>
        <w:tc>
          <w:tcPr>
            <w:tcW w:w="3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9 488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(6 240)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receivables</w:t>
            </w:r>
          </w:p>
        </w:tc>
        <w:tc>
          <w:tcPr>
            <w:tcW w:w="3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(5 122)</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4 471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liabilities</w:t>
            </w:r>
          </w:p>
        </w:tc>
        <w:tc>
          <w:tcPr>
            <w:tcW w:w="3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(2 642)</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tc>
        <w:tc>
          <w:tcPr>
            <w:tcW w:w="3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(4 595)</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7 816</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886</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(3 709)</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8 763</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16 970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8 207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13 261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16 970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16"/>
        </w:trPr>
        <w:tc>
          <w:tcPr>
            <w:tcW w:w="62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profit / (loss)</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3"/>
        </w:trPr>
        <w:tc>
          <w:tcPr>
            <w:tcW w:w="6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1 January 2024</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(42 389)</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76 145</w:t>
            </w:r>
          </w:p>
        </w:tc>
      </w:tr>
      <w:tr>
        <w:trPr>
          <w:trHeight w:val="210"/>
        </w:trPr>
        <w:tc>
          <w:tcPr>
            <w:tcW w:w="62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6"/>
        </w:trPr>
        <w:tc>
          <w:tcPr>
            <w:tcW w:w="62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Profit for the year</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9 035</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9 035</w:t>
            </w:r>
          </w:p>
        </w:tc>
      </w:tr>
      <w:tr>
        <w:trPr>
          <w:trHeight w:val="216"/>
        </w:trPr>
        <w:tc>
          <w:tcPr>
            <w:tcW w:w="6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2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6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at 31 December 2024</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(33 386)</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85 148</w:t>
            </w:r>
          </w:p>
        </w:tc>
      </w:tr>
      <w:tr>
        <w:trPr>
          <w:trHeight w:val="209"/>
        </w:trPr>
        <w:tc>
          <w:tcPr>
            <w:tcW w:w="626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r>
      <w:tr>
        <w:trPr>
          <w:trHeight w:val="216"/>
        </w:trPr>
        <w:tc>
          <w:tcPr>
            <w:tcW w:w="6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Loss for the year</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(5 408)</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(5 408)</w:t>
            </w:r>
          </w:p>
        </w:tc>
      </w:tr>
      <w:tr>
        <w:trPr>
          <w:trHeight w:val="216"/>
        </w:trPr>
        <w:tc>
          <w:tcPr>
            <w:tcW w:w="62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23"/>
        </w:trPr>
        <w:tc>
          <w:tcPr>
            <w:tcW w:w="62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2025</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471</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118 063</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(38 829)</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79 705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64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ind w:left="720" w:right="7900" w:hanging="712"/>
        <w:spacing w:after="0" w:line="532" w:lineRule="auto"/>
        <w:tabs>
          <w:tab w:leader="none" w:pos="772"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INFORMATION 1.1 Description of the company</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Gamee Mobile s.r.o. (hereinafter referred to as the</w:t>
      </w:r>
    </w:p>
    <w:p>
      <w:pPr>
        <w:spacing w:after="0" w:line="27"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Identification number:</w:t>
      </w:r>
      <w:r>
        <w:rPr>
          <w:sz w:val="20"/>
          <w:szCs w:val="20"/>
          <w:color w:val="auto"/>
        </w:rPr>
        <w:tab/>
      </w:r>
      <w:r>
        <w:rPr>
          <w:rFonts w:ascii="Times New Roman" w:cs="Times New Roman" w:eastAsia="Times New Roman" w:hAnsi="Times New Roman"/>
          <w:sz w:val="18"/>
          <w:szCs w:val="18"/>
          <w:color w:val="auto"/>
        </w:rPr>
        <w:t>29103746</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 Company was registered into commercial register on 8</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Date of Establishment:</w:t>
      </w:r>
      <w:r>
        <w:rPr>
          <w:sz w:val="20"/>
          <w:szCs w:val="20"/>
          <w:color w:val="auto"/>
        </w:rPr>
        <w:tab/>
      </w:r>
      <w:r>
        <w:rPr>
          <w:rFonts w:ascii="Times New Roman" w:cs="Times New Roman" w:eastAsia="Times New Roman" w:hAnsi="Times New Roman"/>
          <w:sz w:val="18"/>
          <w:szCs w:val="18"/>
          <w:color w:val="auto"/>
        </w:rPr>
        <w:t>July 2010</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Registered Office:</w:t>
      </w:r>
      <w:r>
        <w:rPr>
          <w:sz w:val="20"/>
          <w:szCs w:val="20"/>
          <w:color w:val="auto"/>
        </w:rPr>
        <w:tab/>
      </w:r>
      <w:r>
        <w:rPr>
          <w:rFonts w:ascii="Times New Roman" w:cs="Times New Roman" w:eastAsia="Times New Roman" w:hAnsi="Times New Roman"/>
          <w:sz w:val="17"/>
          <w:szCs w:val="17"/>
          <w:color w:val="auto"/>
        </w:rPr>
        <w:t>Rašínovo nábřeží 71/10, Vyšehrad, 128 00 Praha 2</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Legal form:</w:t>
      </w:r>
      <w:r>
        <w:rPr>
          <w:sz w:val="20"/>
          <w:szCs w:val="20"/>
          <w:color w:val="auto"/>
        </w:rPr>
        <w:tab/>
      </w:r>
      <w:r>
        <w:rPr>
          <w:rFonts w:ascii="Times New Roman" w:cs="Times New Roman" w:eastAsia="Times New Roman" w:hAnsi="Times New Roman"/>
          <w:sz w:val="17"/>
          <w:szCs w:val="17"/>
          <w:color w:val="auto"/>
        </w:rPr>
        <w:t>Limited liability company</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Subject of business:</w:t>
      </w:r>
      <w:r>
        <w:rPr>
          <w:sz w:val="20"/>
          <w:szCs w:val="20"/>
          <w:color w:val="auto"/>
        </w:rPr>
        <w:tab/>
      </w:r>
      <w:r>
        <w:rPr>
          <w:rFonts w:ascii="Times New Roman" w:cs="Times New Roman" w:eastAsia="Times New Roman" w:hAnsi="Times New Roman"/>
          <w:sz w:val="18"/>
          <w:szCs w:val="18"/>
          <w:color w:val="auto"/>
        </w:rPr>
        <w:t>Providing IT development services.</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Country of incorporation:</w:t>
      </w:r>
      <w:r>
        <w:rPr>
          <w:sz w:val="20"/>
          <w:szCs w:val="20"/>
          <w:color w:val="auto"/>
        </w:rPr>
        <w:tab/>
      </w:r>
      <w:r>
        <w:rPr>
          <w:rFonts w:ascii="Times New Roman" w:cs="Times New Roman" w:eastAsia="Times New Roman" w:hAnsi="Times New Roman"/>
          <w:sz w:val="17"/>
          <w:szCs w:val="17"/>
          <w:color w:val="auto"/>
        </w:rPr>
        <w:t>Czech Republic</w:t>
      </w:r>
    </w:p>
    <w:p>
      <w:pPr>
        <w:spacing w:after="0" w:line="9" w:lineRule="exact"/>
        <w:rPr>
          <w:sz w:val="20"/>
          <w:szCs w:val="20"/>
          <w:color w:val="auto"/>
        </w:rPr>
      </w:pPr>
    </w:p>
    <w:p>
      <w:pPr>
        <w:ind w:left="1140"/>
        <w:spacing w:after="0"/>
        <w:tabs>
          <w:tab w:leader="none" w:pos="5700" w:val="left"/>
        </w:tabs>
        <w:rPr>
          <w:sz w:val="20"/>
          <w:szCs w:val="20"/>
          <w:color w:val="auto"/>
        </w:rPr>
      </w:pPr>
      <w:r>
        <w:rPr>
          <w:rFonts w:ascii="Times New Roman" w:cs="Times New Roman" w:eastAsia="Times New Roman" w:hAnsi="Times New Roman"/>
          <w:sz w:val="18"/>
          <w:szCs w:val="18"/>
          <w:color w:val="auto"/>
        </w:rPr>
        <w:t>Accounting period:</w:t>
      </w:r>
      <w:r>
        <w:rPr>
          <w:sz w:val="20"/>
          <w:szCs w:val="20"/>
          <w:color w:val="auto"/>
        </w:rPr>
        <w:tab/>
      </w:r>
      <w:r>
        <w:rPr>
          <w:rFonts w:ascii="Times New Roman" w:cs="Times New Roman" w:eastAsia="Times New Roman" w:hAnsi="Times New Roman"/>
          <w:sz w:val="18"/>
          <w:szCs w:val="18"/>
          <w:color w:val="auto"/>
        </w:rPr>
        <w:t>1 January 2025 – 31 December 2025</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Trade Register File Nr: Section C 281545, entry of the Commercial Register kept by the Regional Court in Prague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1.2 Members of the statutory bodies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Statutory Director during both the current and comparative periods (2025 and 2024) was Robert William Hong-San Yung.</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Božena Řežábová was proxy holder until 18 September 2024, Martin Žákovec is proxy holder starting from 18 September 2024.</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1.3 Employees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2025 the Company had 2 employees. In 2024 the Company had 3 employees (average FTE).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STATEMENT OF COMPLIANCE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attached financial statements of the Company were prepared in accordance with International Financial Reporting Standards (IFRS).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accounting period for 2025 is the period of twelve months from 1 January 2025 to 31 December 2025.</w:t>
      </w:r>
    </w:p>
    <w:p>
      <w:pPr>
        <w:spacing w:after="0" w:line="225" w:lineRule="exact"/>
        <w:rPr>
          <w:sz w:val="20"/>
          <w:szCs w:val="20"/>
          <w:color w:val="auto"/>
        </w:rPr>
      </w:pPr>
    </w:p>
    <w:p>
      <w:pPr>
        <w:jc w:val="both"/>
        <w:ind w:left="720" w:right="20"/>
        <w:spacing w:after="0" w:line="282" w:lineRule="auto"/>
        <w:rPr>
          <w:sz w:val="20"/>
          <w:szCs w:val="20"/>
          <w:color w:val="auto"/>
        </w:rPr>
      </w:pPr>
      <w:r>
        <w:rPr>
          <w:rFonts w:ascii="Times New Roman" w:cs="Times New Roman" w:eastAsia="Times New Roman" w:hAnsi="Times New Roman"/>
          <w:sz w:val="18"/>
          <w:szCs w:val="18"/>
          <w:color w:val="auto"/>
        </w:rPr>
        <w:t>These financial statements have been prepared under historical cost convention. These IFRS financial statements are presented in thousands of CZK (rounded using generally accepted methods), unless stated otherwise.</w:t>
      </w:r>
    </w:p>
    <w:p>
      <w:pPr>
        <w:spacing w:after="0" w:line="162"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Company's management, when preparing the financial statements, considered the going concern assumption. They concluded that the going concern assumption is not jeopardized. Therefore, the financial statements as of 31 December 2025 and for the year ended, were prepared on the basis that the Company will continue to operate as a going concern.</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CHANGES IN ACCOUNTING POLICIES AND DISCLOSURES</w:t>
      </w:r>
    </w:p>
    <w:p>
      <w:pPr>
        <w:spacing w:after="0" w:line="229"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The Company has adopted the following revised IFRSs, which are applicable to the Company for the first time in the current year’s financial statements.</w:t>
      </w:r>
    </w:p>
    <w:p>
      <w:pPr>
        <w:spacing w:after="0" w:line="160"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IFRS 16</w:t>
      </w:r>
      <w:r>
        <w:rPr>
          <w:sz w:val="20"/>
          <w:szCs w:val="20"/>
          <w:color w:val="auto"/>
        </w:rPr>
        <w:tab/>
      </w:r>
      <w:r>
        <w:rPr>
          <w:rFonts w:ascii="Times New Roman" w:cs="Times New Roman" w:eastAsia="Times New Roman" w:hAnsi="Times New Roman"/>
          <w:sz w:val="17"/>
          <w:szCs w:val="17"/>
          <w:i w:val="1"/>
          <w:iCs w:val="1"/>
          <w:color w:val="auto"/>
        </w:rPr>
        <w:t>Lease Liability in a Sale and Leaseback</w:t>
      </w:r>
    </w:p>
    <w:p>
      <w:pPr>
        <w:spacing w:after="0" w:line="29"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IAS 1</w:t>
      </w:r>
      <w:r>
        <w:rPr>
          <w:sz w:val="20"/>
          <w:szCs w:val="20"/>
          <w:color w:val="auto"/>
        </w:rPr>
        <w:tab/>
      </w:r>
      <w:r>
        <w:rPr>
          <w:rFonts w:ascii="Times New Roman" w:cs="Times New Roman" w:eastAsia="Times New Roman" w:hAnsi="Times New Roman"/>
          <w:sz w:val="17"/>
          <w:szCs w:val="17"/>
          <w:i w:val="1"/>
          <w:iCs w:val="1"/>
          <w:color w:val="auto"/>
        </w:rPr>
        <w:t xml:space="preserve">Classification of Liabilities as Current or Non-current </w:t>
      </w:r>
      <w:r>
        <w:rPr>
          <w:rFonts w:ascii="Times New Roman" w:cs="Times New Roman" w:eastAsia="Times New Roman" w:hAnsi="Times New Roman"/>
          <w:sz w:val="17"/>
          <w:szCs w:val="17"/>
          <w:color w:val="auto"/>
        </w:rPr>
        <w:t>(the “2020 Amendments”)</w:t>
      </w:r>
    </w:p>
    <w:p>
      <w:pPr>
        <w:spacing w:after="0" w:line="9" w:lineRule="exact"/>
        <w:rPr>
          <w:sz w:val="20"/>
          <w:szCs w:val="20"/>
          <w:color w:val="auto"/>
        </w:rPr>
      </w:pPr>
    </w:p>
    <w:p>
      <w:pPr>
        <w:ind w:left="720"/>
        <w:spacing w:after="0"/>
        <w:tabs>
          <w:tab w:leader="none" w:pos="2840" w:val="left"/>
        </w:tabs>
        <w:rPr>
          <w:sz w:val="20"/>
          <w:szCs w:val="20"/>
          <w:color w:val="auto"/>
        </w:rPr>
      </w:pPr>
      <w:r>
        <w:rPr>
          <w:rFonts w:ascii="Times New Roman" w:cs="Times New Roman" w:eastAsia="Times New Roman" w:hAnsi="Times New Roman"/>
          <w:sz w:val="18"/>
          <w:szCs w:val="18"/>
          <w:color w:val="auto"/>
        </w:rPr>
        <w:t>Amendments to IAS 1</w:t>
      </w:r>
      <w:r>
        <w:rPr>
          <w:sz w:val="20"/>
          <w:szCs w:val="20"/>
          <w:color w:val="auto"/>
        </w:rPr>
        <w:tab/>
      </w:r>
      <w:r>
        <w:rPr>
          <w:rFonts w:ascii="Times New Roman" w:cs="Times New Roman" w:eastAsia="Times New Roman" w:hAnsi="Times New Roman"/>
          <w:sz w:val="17"/>
          <w:szCs w:val="17"/>
          <w:i w:val="1"/>
          <w:iCs w:val="1"/>
          <w:color w:val="auto"/>
        </w:rPr>
        <w:t xml:space="preserve">Non-current Liabilities with Covenants </w:t>
      </w:r>
      <w:r>
        <w:rPr>
          <w:rFonts w:ascii="Times New Roman" w:cs="Times New Roman" w:eastAsia="Times New Roman" w:hAnsi="Times New Roman"/>
          <w:sz w:val="17"/>
          <w:szCs w:val="17"/>
          <w:color w:val="auto"/>
        </w:rPr>
        <w:t>(the “2022 Amendments”)</w:t>
      </w:r>
    </w:p>
    <w:p>
      <w:pPr>
        <w:spacing w:after="0" w:line="207"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18"/>
          <w:szCs w:val="18"/>
          <w:color w:val="auto"/>
        </w:rPr>
        <w:t>Amendments to IFRS 16 specify the requirements that a seller-lessee uses in measuring the lease liability arising in a sale and leaseback transaction to ensure the seller-lessee does not recognise any amount of the gain or loss that relates to the right of use it retains. Since the Company has no sale and leaseback transactions with variable lease payments that do not depend on an index or a rate occurring from the date of initial application of IFRS 16, the amendments did not have any impact on the financial position or performance of the Company.</w:t>
      </w:r>
    </w:p>
    <w:p>
      <w:pPr>
        <w:spacing w:after="0" w:line="180"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w:t>
      </w:r>
    </w:p>
    <w:p>
      <w:pPr>
        <w:spacing w:after="0" w:line="18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has reassessed the terms and conditions of its liabilities as at 1 January 2024 and 2025 and concluded that the classification of its liabilities as current or non-current remained unchanged upon initial application of the amendments. Accordingly, the amendments did not have any impact on the financial position or performance of the Company.</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ISSUED BUT NOT YET EFFECTIVE INTERNATIONAL FINANCIAL REPORTING STANDARDS</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has not early applied the revised IFRSs that have been issued but are not yet effective for the accounting year ended 31 December 2025 in these financial statements. Among these new and revised IFRSs, the following are expected to be relevant to the Company’s financial statements upon becoming effective:</w:t>
      </w:r>
    </w:p>
    <w:p>
      <w:pPr>
        <w:spacing w:after="0" w:line="101" w:lineRule="exact"/>
        <w:rPr>
          <w:sz w:val="20"/>
          <w:szCs w:val="20"/>
          <w:color w:val="auto"/>
        </w:rPr>
      </w:pPr>
    </w:p>
    <w:tbl>
      <w:tblPr>
        <w:tblLayout w:type="fixed"/>
        <w:tblInd w:w="720" w:type="dxa"/>
        <w:tblCellMar>
          <w:top w:w="0" w:type="dxa"/>
          <w:left w:w="0" w:type="dxa"/>
          <w:bottom w:w="0" w:type="dxa"/>
          <w:right w:w="0" w:type="dxa"/>
        </w:tblCellMar>
      </w:tblPr>
      <w:tr>
        <w:trPr>
          <w:trHeight w:val="33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IFRS 18</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Presentation and Disclosure in Financial Statement</w:t>
            </w:r>
            <w:r>
              <w:rPr>
                <w:rFonts w:ascii="Times New Roman" w:cs="Times New Roman" w:eastAsia="Times New Roman" w:hAnsi="Times New Roman"/>
                <w:sz w:val="29"/>
                <w:szCs w:val="29"/>
                <w:i w:val="1"/>
                <w:iCs w:val="1"/>
                <w:color w:val="auto"/>
                <w:vertAlign w:val="superscript"/>
              </w:rPr>
              <w:t>2</w:t>
            </w:r>
          </w:p>
        </w:tc>
      </w:tr>
      <w:tr>
        <w:trPr>
          <w:trHeight w:val="25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IFRS 19</w:t>
            </w:r>
          </w:p>
        </w:tc>
        <w:tc>
          <w:tcPr>
            <w:tcW w:w="482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i w:val="1"/>
                <w:iCs w:val="1"/>
                <w:color w:val="auto"/>
              </w:rPr>
              <w:t>Subsidiaries without Public Accountability: Disclosures</w:t>
            </w:r>
            <w:r>
              <w:rPr>
                <w:rFonts w:ascii="Times New Roman" w:cs="Times New Roman" w:eastAsia="Times New Roman" w:hAnsi="Times New Roman"/>
                <w:sz w:val="29"/>
                <w:szCs w:val="29"/>
                <w:i w:val="1"/>
                <w:iCs w:val="1"/>
                <w:color w:val="auto"/>
                <w:vertAlign w:val="superscript"/>
              </w:rPr>
              <w:t>2</w:t>
            </w:r>
          </w:p>
        </w:tc>
      </w:tr>
      <w:tr>
        <w:trPr>
          <w:trHeight w:val="220"/>
        </w:trPr>
        <w:tc>
          <w:tcPr>
            <w:tcW w:w="488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w w:val="99"/>
              </w:rPr>
              <w:t>Amendments to the Classification and Measurement of Financial</w:t>
            </w: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w:t>
            </w:r>
          </w:p>
        </w:tc>
        <w:tc>
          <w:tcPr>
            <w:tcW w:w="482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29"/>
                <w:szCs w:val="29"/>
                <w:i w:val="1"/>
                <w:iCs w:val="1"/>
                <w:color w:val="auto"/>
                <w:vertAlign w:val="superscript"/>
              </w:rPr>
              <w:t>1</w:t>
            </w:r>
          </w:p>
        </w:tc>
      </w:tr>
      <w:tr>
        <w:trPr>
          <w:trHeight w:val="396"/>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improvements to IFRS Accounting Standards – Volume 11</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Amendments to IFRS 1, IFRS 7, IFRS 9, IFRS 10 and IAS 7</w:t>
            </w:r>
            <w:r>
              <w:rPr>
                <w:rFonts w:ascii="Times New Roman" w:cs="Times New Roman" w:eastAsia="Times New Roman" w:hAnsi="Times New Roman"/>
                <w:sz w:val="29"/>
                <w:szCs w:val="29"/>
                <w:i w:val="1"/>
                <w:iCs w:val="1"/>
                <w:color w:val="auto"/>
                <w:vertAlign w:val="superscript"/>
              </w:rPr>
              <w:t>1</w:t>
            </w:r>
          </w:p>
        </w:tc>
      </w:tr>
    </w:tbl>
    <w:p>
      <w:pPr>
        <w:ind w:left="840" w:hanging="119"/>
        <w:spacing w:after="0" w:line="233" w:lineRule="auto"/>
        <w:tabs>
          <w:tab w:leader="none" w:pos="84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for annual periods beginning on or after 1 January 2026</w:t>
      </w:r>
    </w:p>
    <w:p>
      <w:pPr>
        <w:ind w:left="840" w:hanging="119"/>
        <w:spacing w:after="0" w:line="185" w:lineRule="auto"/>
        <w:tabs>
          <w:tab w:leader="none" w:pos="840" w:val="left"/>
        </w:tabs>
        <w:numPr>
          <w:ilvl w:val="0"/>
          <w:numId w:val="9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Effective for annual/reporting periods beginning on or after 1 January 2027</w:t>
      </w:r>
    </w:p>
    <w:p>
      <w:pPr>
        <w:spacing w:after="0" w:line="171" w:lineRule="exact"/>
        <w:rPr>
          <w:sz w:val="20"/>
          <w:szCs w:val="20"/>
          <w:color w:val="auto"/>
        </w:rPr>
      </w:pPr>
    </w:p>
    <w:p>
      <w:pPr>
        <w:jc w:val="both"/>
        <w:ind w:left="720"/>
        <w:spacing w:after="0" w:line="256" w:lineRule="auto"/>
        <w:rPr>
          <w:sz w:val="20"/>
          <w:szCs w:val="20"/>
          <w:color w:val="auto"/>
        </w:rPr>
      </w:pPr>
      <w:r>
        <w:rPr>
          <w:rFonts w:ascii="Times New Roman" w:cs="Times New Roman" w:eastAsia="Times New Roman" w:hAnsi="Times New Roman"/>
          <w:sz w:val="18"/>
          <w:szCs w:val="18"/>
          <w:color w:val="auto"/>
        </w:rPr>
        <w:t>IFRS 18 replaces IAS 1 Presentation of Financial Statements. While a number of sections have been brought forward from IAS 1 with limited changes, IFRS 18 introduces new requirements for presentation within the statement of profit or loss, including specified tStandards – Volume 11otals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ISSUED BUT NOT YET EFFECTIVE INTERNATIONAL FINANCIAL REPORTING STANDARDS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720"/>
        <w:spacing w:after="0" w:line="256" w:lineRule="auto"/>
        <w:rPr>
          <w:sz w:val="20"/>
          <w:szCs w:val="20"/>
          <w:color w:val="auto"/>
        </w:rPr>
      </w:pPr>
      <w:r>
        <w:rPr>
          <w:rFonts w:ascii="Times New Roman" w:cs="Times New Roman" w:eastAsia="Times New Roman" w:hAnsi="Times New Roman"/>
          <w:sz w:val="18"/>
          <w:szCs w:val="18"/>
          <w:color w:val="auto"/>
        </w:rPr>
        <w:t>Some requirements previously included in IAS 1 are moved to IAS 8 Accounting Policies, Changes in Accounting Estimates and Errors, which is renamed as IAS 8 Basis of Preparation of Financial Statements. As a consequence of the issuance of IFRS 18, limited, but widely applicable, amendments are made to IAS 7 Statement of Cash Flows, IAS 33 Earnings per Share and IAS 34 Interim Financial Reporting. In addition, there are minor consequential amendments to other IFRSs. IFRS 18 and the consequential amendments to other IFRSs are effective for annual periods beginning on or after 1 January 2027 with earlier application permitted. Retrospective application is required. The Company is currently analysing the new requirements and assessing the impact of IFRS 18 on the presentation and disclosure of the Company’s financial statements.</w:t>
      </w:r>
    </w:p>
    <w:p>
      <w:pPr>
        <w:spacing w:after="0" w:line="187"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IFRS 19 allows eligible entities to elect to apply reduced disclosure requirements while still applying the recognition, measurement and presentation requirements in other IFRSs. To be eligible, at the end of the reporting period, an entity must be a subsidiary as defined in IFRS 10 Consolidated Financial Statements cannot have public accountability and must have a parent (ultimate or intermediate) that prepares consolidated financial statements available for public use which comply with IFRSs. Earlier application is permitted. The Company is currently considering the application of IFRS 19 in the financial statements.</w:t>
      </w:r>
    </w:p>
    <w:p>
      <w:pPr>
        <w:spacing w:after="0" w:line="183"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18"/>
          <w:szCs w:val="18"/>
          <w:color w:val="auto"/>
        </w:rPr>
        <w:t>Amendments to IFRS 9 and IFRS 7 clarify the date on which a financial asset or financial liability is derecognized and introduce an accounting policy option to derecognize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The amendments shall be applied retrospectively with an adjustment to opening retained profits (or other component of equity) at the initial application date. Prior periods are not required to be restated and can only be restated without the use of hindsight. Earlier application of either all the amendments at the same time or only the amendments related to the classification of financial assets is permitted. The amendments are not expected to have any significant impact on the Company’s financial statements.</w:t>
      </w:r>
    </w:p>
    <w:p>
      <w:pPr>
        <w:spacing w:after="0" w:line="194"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Annual Improvements to IFRS Accounting Standards – Volume 11 set out amendments to IFRS 1, IFRS 7 (and the accompanying Guidance on implementing IFRS 7), IFRS 9, IFRS 10 and IAS 7. Details of the amendments that are expected to be applicable to the Company are as follows:</w:t>
      </w:r>
    </w:p>
    <w:p>
      <w:pPr>
        <w:spacing w:after="0" w:line="162" w:lineRule="exact"/>
        <w:rPr>
          <w:sz w:val="20"/>
          <w:szCs w:val="20"/>
          <w:color w:val="auto"/>
        </w:rPr>
      </w:pPr>
    </w:p>
    <w:p>
      <w:pPr>
        <w:jc w:val="both"/>
        <w:ind w:left="1040" w:right="60" w:hanging="330"/>
        <w:spacing w:after="0" w:line="256"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7 Financial Instruments: Disclosures: The amendments have updated certain wording in paragraph B38 of IFRS 7 and paragraphs IG1, IG14 and IG20B of the Guidance on implementing IFRS 7 for the purpose of simplification or achieving consistency with other paragraphs in the standard and/or with the concepts and terminology used in other standards. In addition, the amendments clarify that the Guidance on implementing IFRS 7 does not necessarily illustrate all the requirements in the referenced paragraphs of IFRS 7 nor does it create additional requirements. Earlier application is permitted. The amendments are not expected to have any significant impact on the Company’s financial statements.</w:t>
      </w:r>
    </w:p>
    <w:p>
      <w:pPr>
        <w:spacing w:after="0" w:line="214" w:lineRule="exact"/>
        <w:rPr>
          <w:rFonts w:ascii="Times New Roman" w:cs="Times New Roman" w:eastAsia="Times New Roman" w:hAnsi="Times New Roman"/>
          <w:sz w:val="18"/>
          <w:szCs w:val="18"/>
          <w:color w:val="auto"/>
        </w:rPr>
      </w:pPr>
    </w:p>
    <w:p>
      <w:pPr>
        <w:jc w:val="both"/>
        <w:ind w:left="1040" w:right="80" w:hanging="330"/>
        <w:spacing w:after="0" w:line="258"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 The amendments clarify that when a lessee has determined that a lease liability has been extinguished in accordance with IFRS 9, the lessee is required to apply paragraph 3.3.3 of IFRS 9 and recognise any resulting gain or loss in profit or loss. In addition, the amendments have updated certain wording in paragraph 5.1.3 of IFRS 9 and Appendix A of IFRS 9 to remove potential confusion. Earlier application is permitted. The amendments are not expected to have any significant impact on the Company’s financial statements.</w:t>
      </w:r>
    </w:p>
    <w:p>
      <w:pPr>
        <w:spacing w:after="0" w:line="210" w:lineRule="exact"/>
        <w:rPr>
          <w:rFonts w:ascii="Times New Roman" w:cs="Times New Roman" w:eastAsia="Times New Roman" w:hAnsi="Times New Roman"/>
          <w:sz w:val="18"/>
          <w:szCs w:val="18"/>
          <w:color w:val="auto"/>
        </w:rPr>
      </w:pPr>
    </w:p>
    <w:p>
      <w:pPr>
        <w:jc w:val="both"/>
        <w:ind w:left="1040" w:right="80" w:hanging="330"/>
        <w:spacing w:after="0" w:line="266"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7 Statement of Cash Flows: The amendments replace the term “cost method” with “at cost” in paragraph 37 of IAS 7 following the prior deletion of the definition of “cost method”. Earlier application is permitted. The amendments are not expected to have any impact on the Company’s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MATERIAL ACCOUNTING POLICY INFORMATION</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Business operations in foreign currency</w:t>
      </w:r>
    </w:p>
    <w:p>
      <w:pPr>
        <w:spacing w:after="0" w:line="229" w:lineRule="exact"/>
        <w:rPr>
          <w:sz w:val="20"/>
          <w:szCs w:val="20"/>
          <w:color w:val="auto"/>
        </w:rPr>
      </w:pPr>
    </w:p>
    <w:p>
      <w:pPr>
        <w:jc w:val="both"/>
        <w:ind w:left="720" w:right="60"/>
        <w:spacing w:after="0" w:line="266" w:lineRule="auto"/>
        <w:rPr>
          <w:sz w:val="20"/>
          <w:szCs w:val="20"/>
          <w:color w:val="auto"/>
        </w:rPr>
      </w:pPr>
      <w:r>
        <w:rPr>
          <w:rFonts w:ascii="Times New Roman" w:cs="Times New Roman" w:eastAsia="Times New Roman" w:hAnsi="Times New Roman"/>
          <w:sz w:val="18"/>
          <w:szCs w:val="18"/>
          <w:color w:val="auto"/>
        </w:rPr>
        <w:t>The Company records foreign currency transactions at the exchange rate of the date of transaction. Any resulting foreign currency gains or losses are recognised in the income statement of the relevant fiscal year. Utilized foreign currencies are primarily EUR and USD, use and impact of other foreign currencies is not significant.</w:t>
      </w:r>
    </w:p>
    <w:p>
      <w:pPr>
        <w:spacing w:after="0" w:line="176" w:lineRule="exact"/>
        <w:rPr>
          <w:sz w:val="20"/>
          <w:szCs w:val="20"/>
          <w:color w:val="auto"/>
        </w:rPr>
      </w:pPr>
    </w:p>
    <w:p>
      <w:pPr>
        <w:jc w:val="both"/>
        <w:ind w:left="720" w:right="60"/>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of balances in foreign currencies and of business operations (transactions) was done using the exchange rates as of the balance sheet date. The following exchange rates were used:</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040" w:type="dxa"/>
            <w:vAlign w:val="bottom"/>
            <w:shd w:val="clear" w:color="auto" w:fill="000080"/>
          </w:tcPr>
          <w:p>
            <w:pPr>
              <w:ind w:left="80"/>
              <w:spacing w:after="0"/>
              <w:rPr>
                <w:sz w:val="20"/>
                <w:szCs w:val="20"/>
                <w:color w:val="auto"/>
              </w:rPr>
            </w:pPr>
            <w:r>
              <w:rPr>
                <w:rFonts w:ascii="Times New Roman" w:cs="Times New Roman" w:eastAsia="Times New Roman" w:hAnsi="Times New Roman"/>
                <w:sz w:val="18"/>
                <w:szCs w:val="18"/>
                <w:b w:val="1"/>
                <w:bCs w:val="1"/>
                <w:color w:val="FFFFFF"/>
              </w:rPr>
              <w:t>FX rates CZK</w:t>
            </w:r>
          </w:p>
        </w:tc>
        <w:tc>
          <w:tcPr>
            <w:tcW w:w="2980" w:type="dxa"/>
            <w:vAlign w:val="bottom"/>
            <w:shd w:val="clear" w:color="auto" w:fill="000080"/>
          </w:tcPr>
          <w:p>
            <w:pPr>
              <w:jc w:val="right"/>
              <w:ind w:right="370"/>
              <w:spacing w:after="0"/>
              <w:rPr>
                <w:sz w:val="20"/>
                <w:szCs w:val="20"/>
                <w:color w:val="auto"/>
              </w:rPr>
            </w:pPr>
            <w:r>
              <w:rPr>
                <w:rFonts w:ascii="Times New Roman" w:cs="Times New Roman" w:eastAsia="Times New Roman" w:hAnsi="Times New Roman"/>
                <w:sz w:val="18"/>
                <w:szCs w:val="18"/>
                <w:b w:val="1"/>
                <w:bCs w:val="1"/>
                <w:color w:val="FFFFFF"/>
              </w:rPr>
              <w:t>quantity</w:t>
            </w:r>
          </w:p>
        </w:tc>
        <w:tc>
          <w:tcPr>
            <w:tcW w:w="2260" w:type="dxa"/>
            <w:vAlign w:val="bottom"/>
            <w:shd w:val="clear" w:color="auto" w:fill="000080"/>
          </w:tcPr>
          <w:p>
            <w:pPr>
              <w:jc w:val="center"/>
              <w:ind w:right="470"/>
              <w:spacing w:after="0"/>
              <w:rPr>
                <w:sz w:val="20"/>
                <w:szCs w:val="20"/>
                <w:color w:val="auto"/>
              </w:rPr>
            </w:pPr>
            <w:r>
              <w:rPr>
                <w:rFonts w:ascii="Times New Roman" w:cs="Times New Roman" w:eastAsia="Times New Roman" w:hAnsi="Times New Roman"/>
                <w:sz w:val="18"/>
                <w:szCs w:val="18"/>
                <w:b w:val="1"/>
                <w:bCs w:val="1"/>
                <w:color w:val="FFFFFF"/>
              </w:rPr>
              <w:t>31.12.2025</w:t>
            </w:r>
          </w:p>
        </w:tc>
        <w:tc>
          <w:tcPr>
            <w:tcW w:w="1820" w:type="dxa"/>
            <w:vAlign w:val="bottom"/>
            <w:shd w:val="clear" w:color="auto" w:fill="000080"/>
          </w:tcPr>
          <w:p>
            <w:pPr>
              <w:jc w:val="right"/>
              <w:spacing w:after="0"/>
              <w:rPr>
                <w:sz w:val="20"/>
                <w:szCs w:val="20"/>
                <w:color w:val="auto"/>
              </w:rPr>
            </w:pPr>
            <w:r>
              <w:rPr>
                <w:rFonts w:ascii="Times New Roman" w:cs="Times New Roman" w:eastAsia="Times New Roman" w:hAnsi="Times New Roman"/>
                <w:sz w:val="18"/>
                <w:szCs w:val="18"/>
                <w:b w:val="1"/>
                <w:bCs w:val="1"/>
                <w:color w:val="FFFFFF"/>
              </w:rPr>
              <w:t>31.12.2024</w:t>
            </w:r>
          </w:p>
        </w:tc>
      </w:tr>
      <w:tr>
        <w:trPr>
          <w:trHeight w:val="198"/>
        </w:trPr>
        <w:tc>
          <w:tcPr>
            <w:tcW w:w="3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298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260" w:type="dxa"/>
            <w:vAlign w:val="bottom"/>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rPr>
              <w:t>20,632</w:t>
            </w:r>
          </w:p>
        </w:tc>
        <w:tc>
          <w:tcPr>
            <w:tcW w:w="1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24,237</w:t>
            </w:r>
          </w:p>
        </w:tc>
      </w:tr>
      <w:tr>
        <w:trPr>
          <w:trHeight w:val="234"/>
        </w:trPr>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24,245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w:t>
            </w:r>
          </w:p>
        </w:tc>
      </w:tr>
    </w:tbl>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Intangible fixed assets are initially measured at cost, which includes the purchase price and all expenses directly attributable to their acquisition.</w:t>
      </w:r>
    </w:p>
    <w:p>
      <w:pPr>
        <w:spacing w:after="0" w:line="225"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Intangible fixed assets with an acquisition cost exceeding CZK 80,000 in 2025 and 2024 are amortised to expenses over their estimated useful lives. If the carrying amount of an intangible fixed asset decreases due to temporary non-use, damage, or other circumstances, the Company recognises an impairment allowance to reduce its value.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In accordance with IFRS 9, financial assets shall be classified in three categories: (i) measured at amortised cost, (ii) fair value through other comprehensive income (FVOCI) and (iii) fair value through profit or loss (FVTPL). The classification of financial assets under IFRS 9 is generally based on the business model in which a financial asset is managed and on its contractual cash flow characteristics. As financial instruments measured at amortized cost qualify only those, whose business model gives rise to cash flows that are solely payments of principal and interests. All other financial assets are measured at fair value through profit or loss.</w:t>
      </w:r>
    </w:p>
    <w:p>
      <w:pPr>
        <w:spacing w:after="0" w:line="183"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Trade receivables that do not contain a significant financial component or for which the Company has applied the practical expedient of not adjusting the effect of a significant financial component are measured at the transaction price determined under IFRS 15. All the other financial assets are initially recognised at fair value plus transaction costs that are attributable to the acquisition of the financial assets, except in the case of financial assets recorded at fair value through profit or loss. Regular way purchases and sales of financial assets are recognised on the trade date, that is, the date when the Company commits to purchase or sell the assets.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Classification and measurement</w:t>
      </w:r>
    </w:p>
    <w:p>
      <w:pPr>
        <w:spacing w:after="0" w:line="225" w:lineRule="exact"/>
        <w:rPr>
          <w:sz w:val="20"/>
          <w:szCs w:val="20"/>
          <w:color w:val="auto"/>
        </w:rPr>
      </w:pPr>
    </w:p>
    <w:p>
      <w:pPr>
        <w:jc w:val="both"/>
        <w:ind w:left="1040" w:right="80"/>
        <w:spacing w:after="0" w:line="282" w:lineRule="auto"/>
        <w:rPr>
          <w:sz w:val="20"/>
          <w:szCs w:val="20"/>
          <w:color w:val="auto"/>
        </w:rPr>
      </w:pPr>
      <w:r>
        <w:rPr>
          <w:rFonts w:ascii="Times New Roman" w:cs="Times New Roman" w:eastAsia="Times New Roman" w:hAnsi="Times New Roman"/>
          <w:sz w:val="18"/>
          <w:szCs w:val="18"/>
          <w:color w:val="auto"/>
        </w:rPr>
        <w:t>Debt instruments are measured at amortised cost using the effective interest rate method, subject to impairment if the assets are held for the collection of contractual cash flows where those contractual cash flows represent solely payments of principal and interest.</w:t>
      </w:r>
    </w:p>
    <w:p>
      <w:pPr>
        <w:spacing w:after="0" w:line="162" w:lineRule="exact"/>
        <w:rPr>
          <w:sz w:val="20"/>
          <w:szCs w:val="20"/>
          <w:color w:val="auto"/>
        </w:rPr>
      </w:pPr>
    </w:p>
    <w:p>
      <w:pPr>
        <w:jc w:val="both"/>
        <w:ind w:left="1040" w:right="60"/>
        <w:spacing w:after="0" w:line="255" w:lineRule="auto"/>
        <w:rPr>
          <w:sz w:val="20"/>
          <w:szCs w:val="20"/>
          <w:color w:val="auto"/>
        </w:rPr>
      </w:pPr>
      <w:r>
        <w:rPr>
          <w:rFonts w:ascii="Times New Roman" w:cs="Times New Roman" w:eastAsia="Times New Roman" w:hAnsi="Times New Roman"/>
          <w:sz w:val="18"/>
          <w:szCs w:val="18"/>
          <w:color w:val="auto"/>
        </w:rPr>
        <w:t>Debt instruments are measured at fair value through other comprehensive income if the assets’ contractual cash flows represent solely payments of principal and interest and the assets are held for collection of contractual cash flows and for selling the financial assets. Such financial assets are subsequently measured at fair value with any gains or losses from changes in fair value recognised in other comprehensive income, except for impairment losses and reversal, foreign exchange gains and losses and interest calculated using the effective interest rate method which are recognised in the statement of profit or loss. The cumulative gains or losses previously recognised in other comprehensive income are reclassified from other comprehensive income to the statement of profit or loss when the financial asset is derecognised.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 xml:space="preserve">MATERIAL ACCOUNTING POLICY INFORMATION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Debt instruments that do not meet the criteria for amortised cost or as financial assets at fair value though other comprehensive income are measured at fair value through profit or loss. Interest income for these financial assets is included in finance income.</w:t>
      </w:r>
    </w:p>
    <w:p>
      <w:pPr>
        <w:spacing w:after="0" w:line="162" w:lineRule="exact"/>
        <w:rPr>
          <w:sz w:val="20"/>
          <w:szCs w:val="20"/>
          <w:color w:val="auto"/>
        </w:rPr>
      </w:pPr>
    </w:p>
    <w:p>
      <w:pPr>
        <w:ind w:left="720" w:hanging="712"/>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w:t>
      </w:r>
    </w:p>
    <w:p>
      <w:pPr>
        <w:spacing w:after="0" w:line="225" w:lineRule="exact"/>
        <w:rPr>
          <w:rFonts w:ascii="Times New Roman" w:cs="Times New Roman" w:eastAsia="Times New Roman" w:hAnsi="Times New Roman"/>
          <w:sz w:val="18"/>
          <w:szCs w:val="18"/>
          <w:color w:val="auto"/>
        </w:rPr>
      </w:pPr>
    </w:p>
    <w:p>
      <w:pPr>
        <w:jc w:val="both"/>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the expected credit loss model on all the financial assets that are subject to impairment. Impairment allowances are recognised under the general approach where expected credit losses are recognised in two stages. For credit exposures where there has not been a significant increase in credit risk since initial recognition, the Company is required to provide for credit losses that result from possible default events within the next 12 months. For those credit exposures where there has been a significant increase in credit risk since initial recognition, a loss allowance is required for credit losses expected over the remaining life of the exposure irrespective of the timing of the default.</w:t>
      </w:r>
    </w:p>
    <w:p>
      <w:pPr>
        <w:spacing w:after="0" w:line="183" w:lineRule="exact"/>
        <w:rPr>
          <w:rFonts w:ascii="Times New Roman" w:cs="Times New Roman" w:eastAsia="Times New Roman" w:hAnsi="Times New Roman"/>
          <w:sz w:val="18"/>
          <w:szCs w:val="18"/>
          <w:color w:val="auto"/>
        </w:rPr>
      </w:pPr>
    </w:p>
    <w:p>
      <w:pPr>
        <w:jc w:val="both"/>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w:t>
      </w:r>
    </w:p>
    <w:p>
      <w:pPr>
        <w:spacing w:after="0" w:line="175"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rFonts w:ascii="Times New Roman" w:cs="Times New Roman" w:eastAsia="Times New Roman" w:hAnsi="Times New Roman"/>
          <w:sz w:val="18"/>
          <w:szCs w:val="18"/>
          <w:color w:val="auto"/>
        </w:rPr>
      </w:pPr>
    </w:p>
    <w:p>
      <w:pPr>
        <w:jc w:val="both"/>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are derecognised when the rights to receive cash flows from the assets have expired; or where the Company has transferred its contractual rights to receive the cash flows of the financial assets and has transferred substantially all the risks and rewards of ownership; or where control is not retained.</w:t>
      </w:r>
    </w:p>
    <w:p>
      <w:pPr>
        <w:spacing w:after="0" w:line="1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and other financial assets</w:t>
      </w:r>
    </w:p>
    <w:p>
      <w:pPr>
        <w:spacing w:after="0" w:line="229" w:lineRule="exact"/>
        <w:rPr>
          <w:rFonts w:ascii="Times New Roman" w:cs="Times New Roman" w:eastAsia="Times New Roman" w:hAnsi="Times New Roman"/>
          <w:sz w:val="18"/>
          <w:szCs w:val="18"/>
          <w:color w:val="auto"/>
        </w:rPr>
      </w:pPr>
    </w:p>
    <w:p>
      <w:pPr>
        <w:ind w:lef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from the provision of services, other receivables and other financial assets are measured initially at fair value, and thereafter at amortised cost, applying the effective interest-rate method with deduction for any reduction for impairments.</w:t>
      </w:r>
    </w:p>
    <w:p>
      <w:pPr>
        <w:spacing w:after="0" w:line="15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financial liabilities</w:t>
      </w:r>
    </w:p>
    <w:p>
      <w:pPr>
        <w:spacing w:after="0" w:line="229" w:lineRule="exact"/>
        <w:rPr>
          <w:rFonts w:ascii="Times New Roman" w:cs="Times New Roman" w:eastAsia="Times New Roman" w:hAnsi="Times New Roman"/>
          <w:sz w:val="18"/>
          <w:szCs w:val="18"/>
          <w:color w:val="auto"/>
        </w:rPr>
      </w:pPr>
    </w:p>
    <w:p>
      <w:pPr>
        <w:ind w:lef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such as trade payables, are assigned to the category "financial liabilities at amortised cost" (FLAC) and measured upon receipt at fair value, and thereafter at amortised acquisition cost.</w:t>
      </w:r>
    </w:p>
    <w:p>
      <w:pPr>
        <w:spacing w:after="0" w:line="15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Provisions and contingent liabilities</w:t>
      </w:r>
    </w:p>
    <w:p>
      <w:pPr>
        <w:spacing w:after="0" w:line="229" w:lineRule="exact"/>
        <w:rPr>
          <w:rFonts w:ascii="Times New Roman" w:cs="Times New Roman" w:eastAsia="Times New Roman" w:hAnsi="Times New Roman"/>
          <w:sz w:val="18"/>
          <w:szCs w:val="18"/>
          <w:color w:val="auto"/>
        </w:rPr>
      </w:pPr>
    </w:p>
    <w:p>
      <w:pPr>
        <w:jc w:val="both"/>
        <w:ind w:left="720"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are recognised if the Company has legal or constructive obligations towards a third party due to a past event and the obligation is likely to lead to an outflow of funds. Such provisions are stated at the value which can be determined by the best possible estimate at the time the financial statements are prepared.</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parties</w:t>
      </w:r>
    </w:p>
    <w:p>
      <w:pPr>
        <w:spacing w:after="0" w:line="206"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considered to be related to the Company if:</w:t>
      </w:r>
    </w:p>
    <w:p>
      <w:pPr>
        <w:spacing w:after="0" w:line="225" w:lineRule="exact"/>
        <w:rPr>
          <w:rFonts w:ascii="Times New Roman" w:cs="Times New Roman" w:eastAsia="Times New Roman" w:hAnsi="Times New Roman"/>
          <w:sz w:val="18"/>
          <w:szCs w:val="18"/>
          <w:color w:val="auto"/>
        </w:rPr>
      </w:pPr>
    </w:p>
    <w:p>
      <w:pPr>
        <w:ind w:left="1420" w:hanging="699"/>
        <w:spacing w:after="0"/>
        <w:tabs>
          <w:tab w:leader="none" w:pos="1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person or a close member of that person’s family and that person</w:t>
      </w:r>
    </w:p>
    <w:p>
      <w:pPr>
        <w:spacing w:after="0" w:line="27" w:lineRule="exact"/>
        <w:rPr>
          <w:rFonts w:ascii="Times New Roman" w:cs="Times New Roman" w:eastAsia="Times New Roman" w:hAnsi="Times New Roman"/>
          <w:sz w:val="18"/>
          <w:szCs w:val="18"/>
          <w:color w:val="auto"/>
        </w:rPr>
      </w:pPr>
    </w:p>
    <w:p>
      <w:pPr>
        <w:ind w:left="1880" w:hanging="522"/>
        <w:spacing w:after="0"/>
        <w:tabs>
          <w:tab w:leader="none" w:pos="18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Company;</w:t>
      </w:r>
    </w:p>
    <w:p>
      <w:pPr>
        <w:spacing w:after="0" w:line="9" w:lineRule="exact"/>
        <w:rPr>
          <w:rFonts w:ascii="Times New Roman" w:cs="Times New Roman" w:eastAsia="Times New Roman" w:hAnsi="Times New Roman"/>
          <w:sz w:val="18"/>
          <w:szCs w:val="18"/>
          <w:color w:val="auto"/>
        </w:rPr>
      </w:pPr>
    </w:p>
    <w:p>
      <w:pPr>
        <w:ind w:left="1880" w:hanging="522"/>
        <w:spacing w:after="0"/>
        <w:tabs>
          <w:tab w:leader="none" w:pos="18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Company; or</w:t>
      </w:r>
    </w:p>
    <w:p>
      <w:pPr>
        <w:spacing w:after="0" w:line="9" w:lineRule="exact"/>
        <w:rPr>
          <w:rFonts w:ascii="Times New Roman" w:cs="Times New Roman" w:eastAsia="Times New Roman" w:hAnsi="Times New Roman"/>
          <w:sz w:val="18"/>
          <w:szCs w:val="18"/>
          <w:color w:val="auto"/>
        </w:rPr>
      </w:pPr>
    </w:p>
    <w:p>
      <w:pPr>
        <w:ind w:left="1880" w:hanging="522"/>
        <w:spacing w:after="0"/>
        <w:tabs>
          <w:tab w:leader="none" w:pos="18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Company or of a parent of the Company;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 xml:space="preserve">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Related parties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420" w:hanging="699"/>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an entity where any of the following conditions applies:</w:t>
      </w:r>
    </w:p>
    <w:p>
      <w:pPr>
        <w:spacing w:after="0" w:line="27" w:lineRule="exact"/>
        <w:rPr>
          <w:rFonts w:ascii="Times New Roman" w:cs="Times New Roman" w:eastAsia="Times New Roman" w:hAnsi="Times New Roman"/>
          <w:sz w:val="18"/>
          <w:szCs w:val="18"/>
          <w:color w:val="auto"/>
        </w:rPr>
      </w:pPr>
    </w:p>
    <w:p>
      <w:pPr>
        <w:ind w:left="1800" w:hanging="442"/>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members of the same group;</w:t>
      </w:r>
    </w:p>
    <w:p>
      <w:pPr>
        <w:spacing w:after="0" w:line="9" w:lineRule="exact"/>
        <w:rPr>
          <w:rFonts w:ascii="Times New Roman" w:cs="Times New Roman" w:eastAsia="Times New Roman" w:hAnsi="Times New Roman"/>
          <w:sz w:val="18"/>
          <w:szCs w:val="18"/>
          <w:color w:val="auto"/>
        </w:rPr>
      </w:pPr>
    </w:p>
    <w:p>
      <w:pPr>
        <w:ind w:left="1800" w:hanging="442"/>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of a parent, subsidiary or fellow subsidiary of the other entity);</w:t>
      </w:r>
    </w:p>
    <w:p>
      <w:pPr>
        <w:spacing w:after="0" w:line="9" w:lineRule="exact"/>
        <w:rPr>
          <w:rFonts w:ascii="Times New Roman" w:cs="Times New Roman" w:eastAsia="Times New Roman" w:hAnsi="Times New Roman"/>
          <w:sz w:val="18"/>
          <w:szCs w:val="18"/>
          <w:color w:val="auto"/>
        </w:rPr>
      </w:pPr>
    </w:p>
    <w:p>
      <w:pPr>
        <w:ind w:left="1800" w:hanging="442"/>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Company are joint ventures of the same third party;</w:t>
      </w:r>
    </w:p>
    <w:p>
      <w:pPr>
        <w:spacing w:after="0" w:line="9" w:lineRule="exact"/>
        <w:rPr>
          <w:rFonts w:ascii="Times New Roman" w:cs="Times New Roman" w:eastAsia="Times New Roman" w:hAnsi="Times New Roman"/>
          <w:sz w:val="18"/>
          <w:szCs w:val="18"/>
          <w:color w:val="auto"/>
        </w:rPr>
      </w:pPr>
    </w:p>
    <w:p>
      <w:pPr>
        <w:ind w:left="1800" w:hanging="442"/>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ind w:left="1800" w:right="400" w:hanging="442"/>
        <w:spacing w:after="0" w:line="250" w:lineRule="auto"/>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Company or an entity related to the Company;</w:t>
      </w:r>
    </w:p>
    <w:p>
      <w:pPr>
        <w:ind w:left="1800" w:hanging="442"/>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1800" w:right="140" w:hanging="442"/>
        <w:spacing w:after="0" w:line="250" w:lineRule="auto"/>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 and</w:t>
      </w:r>
    </w:p>
    <w:p>
      <w:pPr>
        <w:ind w:left="1800" w:right="640" w:hanging="442"/>
        <w:spacing w:after="0" w:line="260" w:lineRule="auto"/>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Company or to the parent of the Company.</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statement of financial position comprise cash at banks, and short-term highly liquid deposits with a maturity of generally within three months that are readily convertible into known amounts of cash, subject to an insignificant risk of changes in value and held for the purpose of meeting short-term cash commitments.</w:t>
      </w:r>
    </w:p>
    <w:p>
      <w:pPr>
        <w:spacing w:after="0" w:line="176" w:lineRule="exact"/>
        <w:rPr>
          <w:sz w:val="20"/>
          <w:szCs w:val="20"/>
          <w:color w:val="auto"/>
        </w:rPr>
      </w:pPr>
    </w:p>
    <w:p>
      <w:pPr>
        <w:jc w:val="both"/>
        <w:ind w:left="720" w:right="20"/>
        <w:spacing w:after="0" w:line="282" w:lineRule="auto"/>
        <w:rPr>
          <w:sz w:val="20"/>
          <w:szCs w:val="20"/>
          <w:color w:val="auto"/>
        </w:rPr>
      </w:pPr>
      <w:r>
        <w:rPr>
          <w:rFonts w:ascii="Times New Roman" w:cs="Times New Roman" w:eastAsia="Times New Roman" w:hAnsi="Times New Roman"/>
          <w:sz w:val="18"/>
          <w:szCs w:val="18"/>
          <w:color w:val="auto"/>
        </w:rPr>
        <w:t>For the purpose of the statement of cash flows, cash and cash equivalents comprise cash on hand and at banks, and short-term deposits, as defined above, less bank overdrafts which are repayable on demand and form an integral part of the Company’s cash management.</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Financial liabilities are initially recognised at the fair value of the consideration received less directly attributable transaction costs. After initial recognition, they are subsequently measured at amortised cost using the effective interest rate method.</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Financial liabilities are derecognised when they are extinguished, i.e., when the obligation is discharged or cancelled, or expires.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recognised when the control of services is transferred to the customers, at an amount that reflects the consideration to which the Company expects to be entitled in exchange for those services. There are no variable components in the contract, the Company operates on a cost+ basis with other group entities.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Interest income is recognised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Deferred tax is provided using the liability method, on temporary differences at the end of the reporting period arising between the tax bases of assets and liabilities and their carrying amounts for financial reporting purposes. Tax rates enacted or substantively enacted by the end of the reporting period are used to determine the deferred tax.</w:t>
      </w:r>
    </w:p>
    <w:p>
      <w:pPr>
        <w:spacing w:after="0" w:line="176"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Deferred tax liabilities are provided in full while deferred tax assets are recognised to the extent that it is probable that future taxable profit will be available against which the temporary differences can be utilised.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recharge of costs to a group entity</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76 958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73 891</w:t>
            </w:r>
          </w:p>
        </w:tc>
      </w:tr>
      <w:tr>
        <w:trPr>
          <w:trHeight w:val="216"/>
        </w:trPr>
        <w:tc>
          <w:tcPr>
            <w:tcW w:w="720" w:type="dxa"/>
            <w:vAlign w:val="bottom"/>
          </w:tcPr>
          <w:p>
            <w:pPr>
              <w:spacing w:after="0"/>
              <w:rPr>
                <w:sz w:val="18"/>
                <w:szCs w:val="18"/>
                <w:color w:val="auto"/>
              </w:rPr>
            </w:pPr>
          </w:p>
        </w:tc>
        <w:tc>
          <w:tcPr>
            <w:tcW w:w="7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77 309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73 891</w:t>
            </w:r>
          </w:p>
        </w:tc>
      </w:tr>
    </w:tbl>
    <w:p>
      <w:pPr>
        <w:spacing w:after="0" w:line="225"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Company provides IT development services to related parties, where its costs are primarily staff costs provided by external parties (see below in note 4. Operating costs). Revenues represent recharge of the Company´s costs +5% mark-up. Revenues are recorded in the period, to which they relate. Contractual incentives are not used.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20" w:type="dxa"/>
            <w:vAlign w:val="bottom"/>
          </w:tcPr>
          <w:p>
            <w:pPr>
              <w:spacing w:after="0"/>
              <w:rPr>
                <w:sz w:val="18"/>
                <w:szCs w:val="18"/>
                <w:color w:val="auto"/>
              </w:rPr>
            </w:pPr>
          </w:p>
        </w:tc>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purchased services</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59 188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59 666</w:t>
            </w:r>
          </w:p>
        </w:tc>
      </w:tr>
      <w:tr>
        <w:trPr>
          <w:trHeight w:val="216"/>
        </w:trPr>
        <w:tc>
          <w:tcPr>
            <w:tcW w:w="720" w:type="dxa"/>
            <w:vAlign w:val="bottom"/>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Payroll costs</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10 610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8 957</w:t>
            </w:r>
          </w:p>
        </w:tc>
      </w:tr>
      <w:tr>
        <w:trPr>
          <w:trHeight w:val="216"/>
        </w:trPr>
        <w:tc>
          <w:tcPr>
            <w:tcW w:w="720" w:type="dxa"/>
            <w:vAlign w:val="bottom"/>
          </w:tcPr>
          <w:p>
            <w:pPr>
              <w:spacing w:after="0"/>
              <w:rPr>
                <w:sz w:val="18"/>
                <w:szCs w:val="18"/>
                <w:color w:val="auto"/>
              </w:rPr>
            </w:pPr>
          </w:p>
        </w:tc>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1 581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1 773</w:t>
            </w:r>
          </w:p>
        </w:tc>
      </w:tr>
      <w:tr>
        <w:trPr>
          <w:trHeight w:val="210"/>
        </w:trPr>
        <w:tc>
          <w:tcPr>
            <w:tcW w:w="720" w:type="dxa"/>
            <w:vAlign w:val="bottom"/>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71 379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70 396</w:t>
            </w:r>
          </w:p>
        </w:tc>
      </w:tr>
    </w:tbl>
    <w:p>
      <w:pPr>
        <w:spacing w:after="0" w:line="198"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Costs of purchased services represent mainly externally sourced programming services. Payroll costs contain primarily management remuneration, including the social and health security charges.</w:t>
      </w:r>
    </w:p>
    <w:p>
      <w:pPr>
        <w:spacing w:after="0" w:line="158" w:lineRule="exact"/>
        <w:rPr>
          <w:sz w:val="20"/>
          <w:szCs w:val="20"/>
          <w:color w:val="auto"/>
        </w:rPr>
      </w:pPr>
    </w:p>
    <w:p>
      <w:pPr>
        <w:ind w:left="720" w:hanging="712"/>
        <w:spacing w:after="0"/>
        <w:tabs>
          <w:tab w:leader="none" w:pos="7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COSTS AND INCOME</w:t>
      </w:r>
    </w:p>
    <w:p>
      <w:pPr>
        <w:spacing w:after="0" w:line="229" w:lineRule="exact"/>
        <w:rPr>
          <w:rFonts w:ascii="Times New Roman" w:cs="Times New Roman" w:eastAsia="Times New Roman" w:hAnsi="Times New Roman"/>
          <w:sz w:val="18"/>
          <w:szCs w:val="18"/>
          <w:b w:val="1"/>
          <w:bCs w:val="1"/>
          <w:color w:val="auto"/>
        </w:rPr>
      </w:pPr>
    </w:p>
    <w:p>
      <w:pPr>
        <w:ind w:lef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other financial costs represents primarily loss on the revaluation of the interest-bearing loan to a related party (ref.to note 7 below) in the amount of CZK 9.5 million (2024: gain on revaluation of the loan of CZK 5.3 million).</w:t>
      </w:r>
    </w:p>
    <w:p>
      <w:pPr>
        <w:spacing w:after="0" w:line="175" w:lineRule="exact"/>
        <w:rPr>
          <w:rFonts w:ascii="Times New Roman" w:cs="Times New Roman" w:eastAsia="Times New Roman" w:hAnsi="Times New Roman"/>
          <w:sz w:val="18"/>
          <w:szCs w:val="18"/>
          <w:b w:val="1"/>
          <w:bCs w:val="1"/>
          <w:color w:val="auto"/>
        </w:rPr>
      </w:pPr>
    </w:p>
    <w:p>
      <w:pPr>
        <w:ind w:left="880" w:hanging="872"/>
        <w:spacing w:after="0"/>
        <w:tabs>
          <w:tab w:leader="none" w:pos="88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before tax</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(5 444)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9 761</w:t>
            </w:r>
          </w:p>
        </w:tc>
      </w:tr>
      <w:tr>
        <w:trPr>
          <w:trHeight w:val="216"/>
        </w:trPr>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 expense (+) / income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results after tax</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(5 408)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9 035</w:t>
            </w:r>
          </w:p>
        </w:tc>
      </w:tr>
    </w:tbl>
    <w:p>
      <w:pPr>
        <w:spacing w:after="0" w:line="198"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The deferred income tax relates primarily to accumulated tax losses of prior years. As at 31 December 2025, the Company had tax loss of the year 2025 in the amount of CZK 4.6 million, which can be utilised until 2030. Given the tax losses of prior years, the Company did not have corporate income tax payable in 2025 and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ind w:right="4700"/>
        <w:spacing w:after="0" w:line="537" w:lineRule="auto"/>
        <w:rPr>
          <w:sz w:val="20"/>
          <w:szCs w:val="20"/>
          <w:color w:val="auto"/>
        </w:rPr>
      </w:pPr>
      <w:r>
        <w:rPr>
          <w:rFonts w:ascii="Times New Roman" w:cs="Times New Roman" w:eastAsia="Times New Roman" w:hAnsi="Times New Roman"/>
          <w:sz w:val="18"/>
          <w:szCs w:val="18"/>
          <w:b w:val="1"/>
          <w:bCs w:val="1"/>
          <w:color w:val="auto"/>
        </w:rPr>
        <w:t>STATEMENT OF PROFIT OR LOSS AND OTHER COMPREHENSIVE INCOME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ind w:left="720" w:hanging="712"/>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Non-current assets as at 31 December 2024 were represented by an interest-bearing loan provided to a related party amounting to CZK 69,414 ths. (USD 2,864 ths). As at 31 December 2025, this loan was reclassified to short-term related parties due to its maturity in February 2026 (ref.to note 8).</w:t>
      </w:r>
    </w:p>
    <w:p>
      <w:pPr>
        <w:spacing w:after="0" w:line="175"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assets contain right of use for office space of CZK 1 468 ths. (31 December 2024: CZK 2 145 ths.) and deferred tax asset of</w:t>
      </w:r>
    </w:p>
    <w:p>
      <w:pPr>
        <w:spacing w:after="0" w:line="27" w:lineRule="exact"/>
        <w:rPr>
          <w:rFonts w:ascii="Times New Roman" w:cs="Times New Roman" w:eastAsia="Times New Roman" w:hAnsi="Times New Roman"/>
          <w:sz w:val="18"/>
          <w:szCs w:val="18"/>
          <w:b w:val="1"/>
          <w:bCs w:val="1"/>
          <w:color w:val="auto"/>
        </w:rPr>
      </w:pPr>
    </w:p>
    <w:p>
      <w:pPr>
        <w:ind w:lef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CZK 1 033 ths. (31 December 2024: CZK 997 ths.) recognized as at 31 December 2025. Deferred tax asset was recognised primarily from accumulated tax losses in the amount that is expected to be utilised (CZK 4.6 million).</w:t>
      </w:r>
    </w:p>
    <w:p>
      <w:pPr>
        <w:spacing w:after="0" w:line="17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229" w:lineRule="exact"/>
        <w:rPr>
          <w:rFonts w:ascii="Times New Roman" w:cs="Times New Roman" w:eastAsia="Times New Roman" w:hAnsi="Times New Roman"/>
          <w:sz w:val="18"/>
          <w:szCs w:val="18"/>
          <w:b w:val="1"/>
          <w:bCs w:val="1"/>
          <w:color w:val="auto"/>
        </w:rPr>
      </w:pPr>
    </w:p>
    <w:p>
      <w:pPr>
        <w:ind w:lef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31 December 2025, the loan provided to a related party amounting to CZK 59,925 ths. (USD 2,905 ths.) was reclassified to short-term receivables. This loan was presented within non-current assets as at 31 December 2024.</w:t>
      </w:r>
    </w:p>
    <w:p>
      <w:pPr>
        <w:spacing w:after="0" w:line="161"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represented by a related party receivable amounting to CZK 18 513 ths. (USD 897 ths.); (31 December 2024: related party receivable of CZK 12,708 ths.). Trade and other receivables are current assets and are recognised without any necessary valuation adjustments, and as a result the carrying amount reflects their fair value.</w:t>
      </w:r>
    </w:p>
    <w:p>
      <w:pPr>
        <w:spacing w:after="0" w:line="171"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BANK BALANCES</w:t>
      </w:r>
    </w:p>
    <w:p>
      <w:pPr>
        <w:spacing w:after="0" w:line="22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are represented primarily by cash in current bank accounts at Komerční banka a.s., denominated in CZK, USD and EUR. Cash and cash equivalents are current assets and are recognised without any necessary valuation adjustments and therefore the carrying amount reflects fair value.</w:t>
      </w:r>
    </w:p>
    <w:p>
      <w:pPr>
        <w:spacing w:after="0" w:line="171"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DEFFERED AND CURRENT TAXES</w:t>
      </w:r>
    </w:p>
    <w:p>
      <w:pPr>
        <w:spacing w:after="0" w:line="229"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Deferred taxes are recognized on all temporary differences between the tax values of assets and liabilities and their carrying amount in the financial statements. Deferred tax asset is recognized only to the extent that it is probable that future taxable profits will be available against which it can be utilised.</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Deferred tax is measured at the enacted tax rates that are expected to apply to the year when the underlying asset or liability will be settled.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income tax expense for the year is calculated from the taxable income using the tax rate enacted and applicable in the Czech Republic.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Current income tax assets and liabilities are measured at amounts which are expected to be received from or paid to the respective tax authority.</w:t>
      </w:r>
    </w:p>
    <w:p>
      <w:pPr>
        <w:spacing w:after="0" w:line="203" w:lineRule="exact"/>
        <w:rPr>
          <w:sz w:val="20"/>
          <w:szCs w:val="20"/>
          <w:color w:val="auto"/>
        </w:rPr>
      </w:pPr>
    </w:p>
    <w:p>
      <w:pPr>
        <w:ind w:left="680" w:hanging="672"/>
        <w:spacing w:after="0"/>
        <w:tabs>
          <w:tab w:leader="none" w:pos="6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LIABILITIES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Current liabilities contain primarily an advance received from a related party for financing the working capital amounting to CZK 10 364 ths.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(USD 502 ths.) as of 31 December 2025 (31 December 2024: advance received of CZK 12,175 ths.).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consider the trade and other liabilities to be current and therefore their book value reflects also their fair value.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Lease liabilities represent a net present value of a liability for rent of office space.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ind w:left="720" w:hanging="712"/>
        <w:spacing w:after="0"/>
        <w:tabs>
          <w:tab w:leader="none" w:pos="7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CONTRACTS</w:t>
      </w:r>
    </w:p>
    <w:p>
      <w:pPr>
        <w:spacing w:after="0" w:line="229" w:lineRule="exact"/>
        <w:rPr>
          <w:rFonts w:ascii="Times New Roman" w:cs="Times New Roman" w:eastAsia="Times New Roman" w:hAnsi="Times New Roman"/>
          <w:sz w:val="18"/>
          <w:szCs w:val="18"/>
          <w:b w:val="1"/>
          <w:bCs w:val="1"/>
          <w:color w:val="auto"/>
        </w:rPr>
      </w:pPr>
    </w:p>
    <w:p>
      <w:pPr>
        <w:ind w:lef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reported the relevant operating lease agreements in accordance with IFRS 16. For the reporting of operating lease agreements, the Company has chosen to report only newly concluded contracts after 1 January 2019 in accordance with IFRS 16.</w:t>
      </w:r>
    </w:p>
    <w:p>
      <w:pPr>
        <w:spacing w:after="0" w:line="15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REMUNERATION</w:t>
      </w:r>
    </w:p>
    <w:p>
      <w:pPr>
        <w:spacing w:after="0" w:line="22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statutory director did not receive any remuneration in respect of his services rendered to the Company during the years 2025 and 2024.</w:t>
      </w:r>
    </w:p>
    <w:p>
      <w:pPr>
        <w:spacing w:after="0" w:line="221"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JUDGMENTS AND ESTIMATES</w:t>
      </w:r>
    </w:p>
    <w:p>
      <w:pPr>
        <w:spacing w:after="0" w:line="229" w:lineRule="exact"/>
        <w:rPr>
          <w:rFonts w:ascii="Times New Roman" w:cs="Times New Roman" w:eastAsia="Times New Roman" w:hAnsi="Times New Roman"/>
          <w:sz w:val="18"/>
          <w:szCs w:val="18"/>
          <w:b w:val="1"/>
          <w:bCs w:val="1"/>
          <w:color w:val="auto"/>
        </w:rPr>
      </w:pPr>
    </w:p>
    <w:p>
      <w:pPr>
        <w:ind w:left="7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preparing the financial statements, the Company’s management uses judgments and estimates. These judgments and estimates affect the recognition and value of assets, liabilities, income, expenses and the information given in the notes.</w:t>
      </w:r>
    </w:p>
    <w:p>
      <w:pPr>
        <w:spacing w:after="0" w:line="157"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had the following material transactions with related parties during the year:</w:t>
            </w: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of CZK</w:t>
            </w: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provided services</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74 625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71 049</w:t>
            </w:r>
          </w:p>
        </w:tc>
      </w:tr>
      <w:tr>
        <w:trPr>
          <w:trHeight w:val="216"/>
        </w:trPr>
        <w:tc>
          <w:tcPr>
            <w:tcW w:w="7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fees paid</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(1 379)</w:t>
            </w:r>
          </w:p>
        </w:tc>
      </w:tr>
      <w:tr>
        <w:trPr>
          <w:trHeight w:val="216"/>
        </w:trPr>
        <w:tc>
          <w:tcPr>
            <w:tcW w:w="7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bl>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1000" w:hanging="27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provided to a related party were based on the direct costs incurred, plus a mark-up of 5%.</w:t>
      </w:r>
    </w:p>
    <w:p>
      <w:pPr>
        <w:spacing w:after="0" w:line="9" w:lineRule="exact"/>
        <w:rPr>
          <w:rFonts w:ascii="Times New Roman" w:cs="Times New Roman" w:eastAsia="Times New Roman" w:hAnsi="Times New Roman"/>
          <w:sz w:val="18"/>
          <w:szCs w:val="18"/>
          <w:color w:val="auto"/>
        </w:rPr>
      </w:pPr>
    </w:p>
    <w:p>
      <w:pPr>
        <w:ind w:left="1000" w:hanging="27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fees provided by a related party were based on the market price.</w:t>
      </w:r>
    </w:p>
    <w:p>
      <w:pPr>
        <w:spacing w:after="0" w:line="9" w:lineRule="exact"/>
        <w:rPr>
          <w:sz w:val="20"/>
          <w:szCs w:val="20"/>
          <w:color w:val="auto"/>
        </w:rPr>
      </w:pPr>
    </w:p>
    <w:p>
      <w:pPr>
        <w:ind w:left="1000" w:right="420" w:hanging="269"/>
        <w:spacing w:after="0" w:line="260" w:lineRule="auto"/>
        <w:rPr>
          <w:sz w:val="20"/>
          <w:szCs w:val="20"/>
          <w:color w:val="auto"/>
        </w:rPr>
      </w:pPr>
      <w:r>
        <w:rPr>
          <w:rFonts w:ascii="Times New Roman" w:cs="Times New Roman" w:eastAsia="Times New Roman" w:hAnsi="Times New Roman"/>
          <w:sz w:val="18"/>
          <w:szCs w:val="18"/>
          <w:color w:val="auto"/>
        </w:rPr>
        <w:t>(iii)Interest income on a loan provided to a related party, the interest rate (p.a.) on the loan was 1.5%. Details of the loan are included in the note 7 to the financial statements.</w:t>
      </w:r>
    </w:p>
    <w:p>
      <w:pPr>
        <w:spacing w:after="0" w:line="204" w:lineRule="exact"/>
        <w:rPr>
          <w:sz w:val="20"/>
          <w:szCs w:val="20"/>
          <w:color w:val="auto"/>
        </w:rPr>
      </w:pPr>
    </w:p>
    <w:p>
      <w:pPr>
        <w:ind w:left="680" w:hanging="672"/>
        <w:spacing w:after="0"/>
        <w:tabs>
          <w:tab w:leader="none" w:pos="6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OBJECTIVES AND POLICIES</w:t>
      </w:r>
    </w:p>
    <w:p>
      <w:pPr>
        <w:spacing w:after="0" w:line="229"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The Company’s exposure to market risk (including interest rate risk and foreign currency risk), credit risk and liquidity risk arises in the normal course of its business. These risks are managed by the Company’s financial management policies and practices described below:</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9" w:lineRule="exact"/>
        <w:rPr>
          <w:sz w:val="20"/>
          <w:szCs w:val="20"/>
          <w:color w:val="auto"/>
        </w:rPr>
      </w:pPr>
    </w:p>
    <w:p>
      <w:pPr>
        <w:jc w:val="both"/>
        <w:ind w:left="720"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that the counterparty fails to keep their obligations resulting in the financial loss of the Company. The Company primarily minimises this risk by screening its counterparties, whereby currently the Company provides services primarily to a reliable related party.</w:t>
      </w:r>
    </w:p>
    <w:p>
      <w:pPr>
        <w:spacing w:after="0" w:line="181"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Also the loan is provided exclusively to a company within the group (related party). Total credit risk is represented by the data presented for financial assets (loans and receivables) in the balance sheet.</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Liquidity risk is the risk that financial liabilities cannot be settled at the time they are payable. An important aspect in managing the liquidity risk is to secure necessary cash position to be able to pay the Company’s financial liabilities when they are due. The Company manages its liquidity position by monitoring expected and actual cash inflows and outflows on a regular basis.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Gamee Mobile s.r.o.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ind w:left="680" w:hanging="672"/>
        <w:spacing w:after="0"/>
        <w:tabs>
          <w:tab w:leader="none" w:pos="6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OBJECTIVES AND POLICIES (continued)</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rate risk is the risk that the Company's position may be adversely affected by a change of market interest rates.</w:t>
      </w:r>
    </w:p>
    <w:p>
      <w:pPr>
        <w:spacing w:after="0" w:line="207" w:lineRule="exact"/>
        <w:rPr>
          <w:sz w:val="20"/>
          <w:szCs w:val="20"/>
          <w:color w:val="auto"/>
        </w:rPr>
      </w:pPr>
    </w:p>
    <w:p>
      <w:pPr>
        <w:jc w:val="both"/>
        <w:ind w:left="720"/>
        <w:spacing w:after="0" w:line="312" w:lineRule="auto"/>
        <w:rPr>
          <w:sz w:val="20"/>
          <w:szCs w:val="20"/>
          <w:color w:val="auto"/>
        </w:rPr>
      </w:pPr>
      <w:r>
        <w:rPr>
          <w:rFonts w:ascii="Times New Roman" w:cs="Times New Roman" w:eastAsia="Times New Roman" w:hAnsi="Times New Roman"/>
          <w:sz w:val="17"/>
          <w:szCs w:val="17"/>
          <w:color w:val="auto"/>
        </w:rPr>
        <w:t>Except for the loan provided to a related party (ref.to note 8 above), where the interest rate risk is managed on the group level, the cash at bank balances and all the financial instruments of the Company were non-interest bearing, thus management considers that the exposure to interest rate risk is minimal.</w:t>
      </w:r>
    </w:p>
    <w:p>
      <w:pPr>
        <w:spacing w:after="0" w:line="1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9"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18"/>
          <w:szCs w:val="18"/>
          <w:color w:val="auto"/>
        </w:rPr>
        <w:t>Currency risk is a subset of market risk, when the value of assets and liabilities is denominated in a foreign currency and may be affected by a change in the exchange rate. The revenues are denominated in US dollars. however given the transfer-pricing scheme with the related party, the Company effectively does not bear the currency risk on its revenues as the scheme ensures that all the Company's costs are reimbursed.</w:t>
      </w:r>
    </w:p>
    <w:p>
      <w:pPr>
        <w:spacing w:after="0" w:line="186" w:lineRule="exact"/>
        <w:rPr>
          <w:sz w:val="20"/>
          <w:szCs w:val="20"/>
          <w:color w:val="auto"/>
        </w:rPr>
      </w:pPr>
    </w:p>
    <w:p>
      <w:pPr>
        <w:jc w:val="both"/>
        <w:ind w:left="720"/>
        <w:spacing w:after="0" w:line="282" w:lineRule="auto"/>
        <w:rPr>
          <w:sz w:val="20"/>
          <w:szCs w:val="20"/>
          <w:color w:val="auto"/>
        </w:rPr>
      </w:pPr>
      <w:r>
        <w:rPr>
          <w:rFonts w:ascii="Times New Roman" w:cs="Times New Roman" w:eastAsia="Times New Roman" w:hAnsi="Times New Roman"/>
          <w:sz w:val="18"/>
          <w:szCs w:val="18"/>
          <w:color w:val="auto"/>
        </w:rPr>
        <w:t>On the other hand, the Company is exposed to FX risk on translation of the loan provided to a related party. where the unrealized FX gains or losses flow in the Statement of Profit or Loss for the year. depending on the FX rate CZK / USD as of the year end.</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9"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8"/>
          <w:szCs w:val="18"/>
          <w:color w:val="auto"/>
        </w:rPr>
        <w:t>The Company operates exclusively in the business of IT development in the gaming industry and provides services primarily to related parties within the ANIMOCA group. This risk is managed on the ANIMOCA group level. not at the Gamee Mobile s.r.o. level</w:t>
      </w:r>
    </w:p>
    <w:p>
      <w:pPr>
        <w:spacing w:after="0" w:line="204" w:lineRule="exact"/>
        <w:rPr>
          <w:sz w:val="20"/>
          <w:szCs w:val="20"/>
          <w:color w:val="auto"/>
        </w:rPr>
      </w:pPr>
    </w:p>
    <w:p>
      <w:pPr>
        <w:ind w:left="680" w:hanging="672"/>
        <w:spacing w:after="0"/>
        <w:tabs>
          <w:tab w:leader="none" w:pos="6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720" w:right="20"/>
        <w:spacing w:after="0" w:line="282" w:lineRule="auto"/>
        <w:rPr>
          <w:sz w:val="20"/>
          <w:szCs w:val="20"/>
          <w:color w:val="auto"/>
        </w:rPr>
      </w:pPr>
      <w:r>
        <w:rPr>
          <w:rFonts w:ascii="Times New Roman" w:cs="Times New Roman" w:eastAsia="Times New Roman" w:hAnsi="Times New Roman"/>
          <w:sz w:val="18"/>
          <w:szCs w:val="18"/>
          <w:color w:val="auto"/>
        </w:rPr>
        <w:t>No events that could have a significant impact on the financial position of the Company occurred between the balance sheet date and the date of financial statements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April 2026</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Robert William Hong-San Yung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Hong-San Yung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Martin Zakovec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Zakovec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4900" w:space="720"/>
            <w:col w:w="562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 Compute Corp. Completes Majority Acquisition of GAMEE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Transaction Brings 120 million Gaming Users to Alpha Compute with 2025 Revenue of $3.5 million and $926K in Q1, resulting in a 56% CAGR YoY</w:t>
      </w:r>
    </w:p>
    <w:p>
      <w:pPr>
        <w:spacing w:after="0" w:line="15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Road Town, British Virgin Islands, May 27, 2026 (GLOBE NEWSWIRE) -- Alpha Compute, Inc. (NASDAQ: ALP), a leading provider of high-performance AI compute infrastructure, today announced the successful closing of its majority acquisition of GAMEE, the gaming and digital rewards platform. This transaction also establishes Alpha Games, Alpha Compute’s new AI gaming division, which will be led by GAMEE’s founder Bozena Rezab as Executive Vice President.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now completed following the satisfaction of all applicable regulatory requirements and closing conditions.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closing of the GAMEE acquisition represents a significant milestone for Alpha Compute, bringing under its umbrella a proven global gaming platform with 120 million registered users, a robust portfolio of gaming titles, and a proprietary digital rewards engine. </w:t>
      </w:r>
      <w:r>
        <w:rPr>
          <w:rFonts w:ascii="Times New Roman" w:cs="Times New Roman" w:eastAsia="Times New Roman" w:hAnsi="Times New Roman"/>
          <w:sz w:val="18"/>
          <w:szCs w:val="18"/>
          <w:b w:val="1"/>
          <w:bCs w:val="1"/>
          <w:color w:val="auto"/>
        </w:rPr>
        <w:t>With 2025 revenue of $3.5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$926K in Q1, GAMEE brings a 56% compound annual growth rate year over year to Alpha Compute, with 2026 revenues expected to exceed 2025. </w:t>
      </w:r>
      <w:r>
        <w:rPr>
          <w:rFonts w:ascii="Times New Roman" w:cs="Times New Roman" w:eastAsia="Times New Roman" w:hAnsi="Times New Roman"/>
          <w:sz w:val="18"/>
          <w:szCs w:val="18"/>
          <w:color w:val="auto"/>
        </w:rPr>
        <w:t>GAMEE has established itself as a critical bridge between mainstream mobile gaming and digital economies, and its integration into Alpha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Compute's ecosystem is expected to meaningfully expand the Company's capabilities and addressable market at the intersection of AI, gaming, and digital infrastructure.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the terms of the definitive agreement, Alpha Compute has acquired a </w:t>
      </w:r>
      <w:r>
        <w:rPr>
          <w:rFonts w:ascii="Times New Roman" w:cs="Times New Roman" w:eastAsia="Times New Roman" w:hAnsi="Times New Roman"/>
          <w:sz w:val="18"/>
          <w:szCs w:val="18"/>
          <w:b w:val="1"/>
          <w:bCs w:val="1"/>
          <w:color w:val="auto"/>
        </w:rPr>
        <w:t>60% controlling interest</w:t>
      </w:r>
      <w:r>
        <w:rPr>
          <w:rFonts w:ascii="Times New Roman" w:cs="Times New Roman" w:eastAsia="Times New Roman" w:hAnsi="Times New Roman"/>
          <w:sz w:val="18"/>
          <w:szCs w:val="18"/>
          <w:color w:val="auto"/>
        </w:rPr>
        <w:t xml:space="preserve"> in GAMEE from Animoca Brands, at an implied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GAMEE valuation of </w:t>
      </w:r>
      <w:r>
        <w:rPr>
          <w:rFonts w:ascii="Times New Roman" w:cs="Times New Roman" w:eastAsia="Times New Roman" w:hAnsi="Times New Roman"/>
          <w:sz w:val="18"/>
          <w:szCs w:val="18"/>
          <w:b w:val="1"/>
          <w:bCs w:val="1"/>
          <w:color w:val="auto"/>
        </w:rPr>
        <w:t>$18 million</w:t>
      </w:r>
      <w:r>
        <w:rPr>
          <w:rFonts w:ascii="Times New Roman" w:cs="Times New Roman" w:eastAsia="Times New Roman" w:hAnsi="Times New Roman"/>
          <w:sz w:val="18"/>
          <w:szCs w:val="18"/>
          <w:color w:val="auto"/>
        </w:rPr>
        <w:t xml:space="preserve">, for total consideration of up to </w:t>
      </w:r>
      <w:r>
        <w:rPr>
          <w:rFonts w:ascii="Times New Roman" w:cs="Times New Roman" w:eastAsia="Times New Roman" w:hAnsi="Times New Roman"/>
          <w:sz w:val="18"/>
          <w:szCs w:val="18"/>
          <w:b w:val="1"/>
          <w:bCs w:val="1"/>
          <w:color w:val="auto"/>
        </w:rPr>
        <w:t>$11 million</w:t>
      </w:r>
      <w:r>
        <w:rPr>
          <w:rFonts w:ascii="Times New Roman" w:cs="Times New Roman" w:eastAsia="Times New Roman" w:hAnsi="Times New Roman"/>
          <w:sz w:val="18"/>
          <w:szCs w:val="18"/>
          <w:color w:val="auto"/>
        </w:rPr>
        <w:t xml:space="preserve"> structured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Closing Consideration: $3.5 million</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$1.5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Approximately $2 million in Alpha Compute shares and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Alpha Compute to acquire an additional $2 million of GMEE within 90 days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Year 1 Earn-Out: Up to $3.5 million</w:t>
      </w:r>
    </w:p>
    <w:p>
      <w:pPr>
        <w:spacing w:after="0" w:line="256" w:lineRule="exact"/>
        <w:rPr>
          <w:sz w:val="20"/>
          <w:szCs w:val="20"/>
          <w:color w:val="auto"/>
        </w:rPr>
      </w:pPr>
    </w:p>
    <w:p>
      <w:pPr>
        <w:ind w:left="540" w:right="2040"/>
        <w:spacing w:after="0" w:line="313" w:lineRule="auto"/>
        <w:rPr>
          <w:sz w:val="20"/>
          <w:szCs w:val="20"/>
          <w:color w:val="auto"/>
        </w:rPr>
      </w:pPr>
      <w:r>
        <w:rPr>
          <w:rFonts w:ascii="Times New Roman" w:cs="Times New Roman" w:eastAsia="Times New Roman" w:hAnsi="Times New Roman"/>
          <w:sz w:val="18"/>
          <w:szCs w:val="18"/>
          <w:color w:val="auto"/>
        </w:rPr>
        <w:t>1.0 million ALP shares, valued at $1.50 per share, contingent upon GAMEE achieving annual EBITDA of $1.2 million; If EBITDA is greater than zero but less than $1.2M, the payout will be calculated on a pro-rata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-300355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-146050</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Year 2 Earn-Out: Up to $4.0 million</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Contingent upon GAMEE achieving annual EBITDA of $1.6 million, split between cash and ALP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As part of the transaction, Animoca Brands has signed a </w:t>
      </w:r>
      <w:r>
        <w:rPr>
          <w:rFonts w:ascii="Times New Roman" w:cs="Times New Roman" w:eastAsia="Times New Roman" w:hAnsi="Times New Roman"/>
          <w:sz w:val="18"/>
          <w:szCs w:val="18"/>
          <w:b w:val="1"/>
          <w:bCs w:val="1"/>
          <w:color w:val="auto"/>
        </w:rPr>
        <w:t>two-year standstill agreement</w:t>
      </w:r>
      <w:r>
        <w:rPr>
          <w:rFonts w:ascii="Times New Roman" w:cs="Times New Roman" w:eastAsia="Times New Roman" w:hAnsi="Times New Roman"/>
          <w:sz w:val="18"/>
          <w:szCs w:val="18"/>
          <w:color w:val="auto"/>
        </w:rPr>
        <w:t xml:space="preserve"> that prohibits Animoca Brands from acquiring a controlling position in Alpha Compute. Additionally, assets from Animoca Brands' treasury — approximately 878 million GMEE (approximately $1,830,630 added to the Alpha Compute Balance Sheet, as of GMEE yesterday closing price) representing 51% of Animoca's holdings — have been transferred as part of the deal.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Financial &amp; Operational Highlights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 xml:space="preserve">GAMEE has entered Alpha Compute's portfolio with significant commercial momentum, posting an estimated </w:t>
      </w:r>
      <w:r>
        <w:rPr>
          <w:rFonts w:ascii="Times New Roman" w:cs="Times New Roman" w:eastAsia="Times New Roman" w:hAnsi="Times New Roman"/>
          <w:sz w:val="18"/>
          <w:szCs w:val="18"/>
          <w:b w:val="1"/>
          <w:bCs w:val="1"/>
          <w:color w:val="auto"/>
        </w:rPr>
        <w:t>$926,000 in revenue</w:t>
      </w:r>
      <w:r>
        <w:rPr>
          <w:rFonts w:ascii="Times New Roman" w:cs="Times New Roman" w:eastAsia="Times New Roman" w:hAnsi="Times New Roman"/>
          <w:sz w:val="18"/>
          <w:szCs w:val="18"/>
          <w:color w:val="auto"/>
        </w:rPr>
        <w:t xml:space="preserve"> for the first quarter of 2026 — a </w:t>
      </w:r>
      <w:r>
        <w:rPr>
          <w:rFonts w:ascii="Times New Roman" w:cs="Times New Roman" w:eastAsia="Times New Roman" w:hAnsi="Times New Roman"/>
          <w:sz w:val="18"/>
          <w:szCs w:val="18"/>
          <w:b w:val="1"/>
          <w:bCs w:val="1"/>
          <w:color w:val="auto"/>
        </w:rPr>
        <w:t>56% year-over-year increase</w:t>
      </w:r>
      <w:r>
        <w:rPr>
          <w:rFonts w:ascii="Times New Roman" w:cs="Times New Roman" w:eastAsia="Times New Roman" w:hAnsi="Times New Roman"/>
          <w:sz w:val="18"/>
          <w:szCs w:val="18"/>
          <w:color w:val="auto"/>
        </w:rPr>
        <w:t xml:space="preserve"> compared to Q1 2025 ($593,000). The platform attracted over </w:t>
      </w:r>
      <w:r>
        <w:rPr>
          <w:rFonts w:ascii="Times New Roman" w:cs="Times New Roman" w:eastAsia="Times New Roman" w:hAnsi="Times New Roman"/>
          <w:sz w:val="18"/>
          <w:szCs w:val="18"/>
          <w:b w:val="1"/>
          <w:bCs w:val="1"/>
          <w:color w:val="auto"/>
        </w:rPr>
        <w:t>5.57 million users</w:t>
      </w:r>
      <w:r>
        <w:rPr>
          <w:rFonts w:ascii="Times New Roman" w:cs="Times New Roman" w:eastAsia="Times New Roman" w:hAnsi="Times New Roman"/>
          <w:sz w:val="18"/>
          <w:szCs w:val="18"/>
          <w:color w:val="auto"/>
        </w:rPr>
        <w:t xml:space="preserve"> and logged </w:t>
      </w:r>
      <w:r>
        <w:rPr>
          <w:rFonts w:ascii="Times New Roman" w:cs="Times New Roman" w:eastAsia="Times New Roman" w:hAnsi="Times New Roman"/>
          <w:sz w:val="18"/>
          <w:szCs w:val="18"/>
          <w:b w:val="1"/>
          <w:bCs w:val="1"/>
          <w:color w:val="auto"/>
        </w:rPr>
        <w:t>88.5 million game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plays </w:t>
      </w:r>
      <w:r>
        <w:rPr>
          <w:rFonts w:ascii="Times New Roman" w:cs="Times New Roman" w:eastAsia="Times New Roman" w:hAnsi="Times New Roman"/>
          <w:sz w:val="18"/>
          <w:szCs w:val="18"/>
          <w:color w:val="auto"/>
        </w:rPr>
        <w:t>in the quarter alone.</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Current Reach: </w:t>
      </w:r>
      <w:r>
        <w:rPr>
          <w:rFonts w:ascii="Times New Roman" w:cs="Times New Roman" w:eastAsia="Times New Roman" w:hAnsi="Times New Roman"/>
          <w:sz w:val="18"/>
          <w:szCs w:val="18"/>
          <w:color w:val="auto"/>
        </w:rPr>
        <w:t>1.7M monthly active users (MAUs) and 150K daily active users (DAUs) across all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-86360</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Telegram Footprint: </w:t>
      </w:r>
      <w:r>
        <w:rPr>
          <w:rFonts w:ascii="Times New Roman" w:cs="Times New Roman" w:eastAsia="Times New Roman" w:hAnsi="Times New Roman"/>
          <w:sz w:val="18"/>
          <w:szCs w:val="18"/>
          <w:color w:val="auto"/>
        </w:rPr>
        <w:t>Continued expansion within the Telegram Mini App (TMA) ecosystem, serving over 61 million Telegram users from its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-86360</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million total registered user base;</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Full-Year 2025 Revenue: </w:t>
      </w:r>
      <w:r>
        <w:rPr>
          <w:rFonts w:ascii="Times New Roman" w:cs="Times New Roman" w:eastAsia="Times New Roman" w:hAnsi="Times New Roman"/>
          <w:sz w:val="18"/>
          <w:szCs w:val="18"/>
          <w:color w:val="auto"/>
        </w:rPr>
        <w:t>Estimated $3.5 million, representing a three-year compound annual growth rate (CAGR) of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-86360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Azuki Collaboration Highlights </w:t>
      </w:r>
      <w:r>
        <w:rPr>
          <w:rFonts w:ascii="Times New Roman" w:cs="Times New Roman" w:eastAsia="Times New Roman" w:hAnsi="Times New Roman"/>
          <w:sz w:val="18"/>
          <w:szCs w:val="18"/>
          <w:color w:val="auto"/>
        </w:rPr>
        <w:t>In Q1 2026, GAMEE concluded a landmark brand collaboration with premier brand Azuki through the Alley Escape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Telegram mini-app:</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315,000 users and 27 million game plays;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3980"/>
        <w:spacing w:after="0" w:line="313" w:lineRule="auto"/>
        <w:rPr>
          <w:sz w:val="20"/>
          <w:szCs w:val="20"/>
          <w:color w:val="auto"/>
        </w:rPr>
      </w:pPr>
      <w:r>
        <w:rPr>
          <w:rFonts w:ascii="Times New Roman" w:cs="Times New Roman" w:eastAsia="Times New Roman" w:hAnsi="Times New Roman"/>
          <w:sz w:val="18"/>
          <w:szCs w:val="18"/>
          <w:color w:val="auto"/>
        </w:rPr>
        <w:t>Reached the Top 200 Mini Apps on Telegram and achieved #1 Arcade Game on PlayToEarn; Drove a sold-out Azuki Sticker sales within 10 minutes of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-300355</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-146050</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Gold Fest Initiative — $2M Ecosystem Campaign </w:t>
      </w:r>
      <w:r>
        <w:rPr>
          <w:rFonts w:ascii="Times New Roman" w:cs="Times New Roman" w:eastAsia="Times New Roman" w:hAnsi="Times New Roman"/>
          <w:sz w:val="18"/>
          <w:szCs w:val="18"/>
          <w:color w:val="auto"/>
        </w:rPr>
        <w:t>In January 2026, GAMEE finalized an agreement with nGRND and Flashy to launch "Gold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Fest," one of the largest gamified distributions of real assets within the Telegram ecosystem:</w:t>
      </w: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multi-phase campaign distributing $2 million in in-situ gold via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GAMEE secured $500,000 in development fees and a $500,000 marketing budget to execute the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40"/>
        <w:spacing w:after="0" w:line="313" w:lineRule="auto"/>
        <w:rPr>
          <w:sz w:val="20"/>
          <w:szCs w:val="20"/>
          <w:color w:val="auto"/>
        </w:rPr>
      </w:pPr>
      <w:r>
        <w:rPr>
          <w:rFonts w:ascii="Times New Roman" w:cs="Times New Roman" w:eastAsia="Times New Roman" w:hAnsi="Times New Roman"/>
          <w:sz w:val="18"/>
          <w:szCs w:val="18"/>
          <w:color w:val="auto"/>
        </w:rPr>
        <w:t>Phase II (launching Q2/Q3 2026) will introduce a pioneering agentic layer, enabling users to connect or rent AI agents to participate in a dedicated prize pool — accelerating mass adoption of AI agents in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-300355</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Outlook: AI + Gaming on Telegram</w:t>
      </w:r>
    </w:p>
    <w:p>
      <w:pPr>
        <w:sectPr>
          <w:pgSz w:w="11900" w:h="16838" w:orient="portrait"/>
          <w:cols w:equalWidth="0" w:num="1">
            <w:col w:w="11240"/>
          </w:cols>
          <w:pgMar w:left="320" w:top="117" w:right="339" w:bottom="0" w:gutter="0" w:footer="0" w:header="0"/>
        </w:sectPr>
      </w:pPr>
    </w:p>
    <w:bookmarkStart w:id="101" w:name="page102"/>
    <w:bookmarkEnd w:id="101"/>
    <w:p>
      <w:pPr>
        <w:ind w:right="180"/>
        <w:spacing w:after="0" w:line="261" w:lineRule="auto"/>
        <w:rPr>
          <w:sz w:val="20"/>
          <w:szCs w:val="20"/>
          <w:color w:val="auto"/>
        </w:rPr>
      </w:pPr>
      <w:r>
        <w:rPr>
          <w:rFonts w:ascii="Times New Roman" w:cs="Times New Roman" w:eastAsia="Times New Roman" w:hAnsi="Times New Roman"/>
          <w:sz w:val="18"/>
          <w:szCs w:val="18"/>
          <w:color w:val="auto"/>
        </w:rPr>
        <w:t>With the acquisition now closed, Alpha Compute will integrate GAMEE's gaming distribution infrastructure with its AI GPU compute stack — including its Blackwell B200 and B300 GPU clusters powering Telegram's Cocoon AI confidential compute network. GAMEE's platforms will serve as a native deployment channel for Alpha Compute's AI capabilities, with agentic gameplay experiences and AI-assisted production forming the foundation for GAMEE's 2026 product roadmap.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Compute's strategic priorities for GAMEE through year-end are:</w:t>
      </w:r>
    </w:p>
    <w:p>
      <w:pPr>
        <w:spacing w:after="0" w:line="233" w:lineRule="exact"/>
        <w:rPr>
          <w:sz w:val="20"/>
          <w:szCs w:val="20"/>
          <w:color w:val="auto"/>
        </w:rPr>
      </w:pPr>
    </w:p>
    <w:p>
      <w:pPr>
        <w:ind w:left="540" w:hanging="208"/>
        <w:spacing w:after="0"/>
        <w:tabs>
          <w:tab w:leader="none" w:pos="5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Revenue Scaling </w:t>
      </w:r>
      <w:r>
        <w:rPr>
          <w:rFonts w:ascii="Times New Roman" w:cs="Times New Roman" w:eastAsia="Times New Roman" w:hAnsi="Times New Roman"/>
          <w:sz w:val="18"/>
          <w:szCs w:val="18"/>
          <w:color w:val="auto"/>
        </w:rPr>
        <w:t>— Aggressive monetization across native and Telegram-based channels, targeting continued double-digit YoY growth;</w:t>
      </w:r>
    </w:p>
    <w:p>
      <w:pPr>
        <w:spacing w:after="0" w:line="11" w:lineRule="exact"/>
        <w:rPr>
          <w:rFonts w:ascii="Times New Roman" w:cs="Times New Roman" w:eastAsia="Times New Roman" w:hAnsi="Times New Roman"/>
          <w:sz w:val="22"/>
          <w:szCs w:val="22"/>
          <w:color w:val="auto"/>
        </w:rPr>
      </w:pPr>
    </w:p>
    <w:p>
      <w:pPr>
        <w:ind w:left="540" w:hanging="208"/>
        <w:spacing w:after="0" w:line="219" w:lineRule="auto"/>
        <w:tabs>
          <w:tab w:leader="none" w:pos="5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Brand Synergy </w:t>
      </w:r>
      <w:r>
        <w:rPr>
          <w:rFonts w:ascii="Times New Roman" w:cs="Times New Roman" w:eastAsia="Times New Roman" w:hAnsi="Times New Roman"/>
          <w:sz w:val="18"/>
          <w:szCs w:val="18"/>
          <w:color w:val="auto"/>
        </w:rPr>
        <w:t>— Bridging Tier-1 digital brands into the Telegram ecosystem audience;</w:t>
      </w:r>
    </w:p>
    <w:p>
      <w:pPr>
        <w:spacing w:after="0" w:line="12" w:lineRule="exact"/>
        <w:rPr>
          <w:rFonts w:ascii="Times New Roman" w:cs="Times New Roman" w:eastAsia="Times New Roman" w:hAnsi="Times New Roman"/>
          <w:sz w:val="22"/>
          <w:szCs w:val="22"/>
          <w:color w:val="auto"/>
        </w:rPr>
      </w:pPr>
    </w:p>
    <w:p>
      <w:pPr>
        <w:ind w:left="540" w:right="160" w:hanging="208"/>
        <w:spacing w:after="0" w:line="256" w:lineRule="auto"/>
        <w:tabs>
          <w:tab w:leader="none" w:pos="5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AI Integration </w:t>
      </w:r>
      <w:r>
        <w:rPr>
          <w:rFonts w:ascii="Times New Roman" w:cs="Times New Roman" w:eastAsia="Times New Roman" w:hAnsi="Times New Roman"/>
          <w:sz w:val="18"/>
          <w:szCs w:val="18"/>
          <w:color w:val="auto"/>
        </w:rPr>
        <w:t>— Deepening the use of Alpha Compute's GPU infrastructure for internal game production and external "agent-centric" gameplay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w:t>
      </w:r>
    </w:p>
    <w:p>
      <w:pPr>
        <w:spacing w:after="0" w:line="18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Founded in 2015, GAMEE has grown from a mobile gaming aggregator into one of the most widely used gaming platforms, reaching over 120 million registered users across its Telegram and mobile applications. The company powers a proprietary digital rewards engine through its </w:t>
      </w:r>
      <w:r>
        <w:rPr>
          <w:rFonts w:ascii="Times New Roman" w:cs="Times New Roman" w:eastAsia="Times New Roman" w:hAnsi="Times New Roman"/>
          <w:sz w:val="18"/>
          <w:szCs w:val="18"/>
          <w:u w:val="single" w:color="auto"/>
          <w:color w:val="auto"/>
        </w:rPr>
        <w:t>Telegram application</w:t>
      </w:r>
      <w:r>
        <w:rPr>
          <w:rFonts w:ascii="Times New Roman" w:cs="Times New Roman" w:eastAsia="Times New Roman" w:hAnsi="Times New Roman"/>
          <w:sz w:val="18"/>
          <w:szCs w:val="18"/>
          <w:color w:val="auto"/>
        </w:rPr>
        <w:t xml:space="preserve"> and creates large-scale gaming experiences for global IPs such as Azuki, NASA, Manchester City and Mocaverse. Under Alpha Compute's ownership, GAMEE's platform and community will be integrated with the Company's AI compute infrastructure, enabling new categories of AI-powered gaming experiences and digital ownership applications.</w:t>
      </w:r>
    </w:p>
    <w:p>
      <w:pPr>
        <w:spacing w:after="0" w:line="18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Alpha Compute's integration of GAMEE's platform assets, technology stack, and global user community will be integrated into the AI Confidential Compute platform within the next two fiscal quarters. With over 120 million users, the launch of a confidential AI ad network inside the platform, combined with the addition of new clients, activations, and brand partnerships will focus the teams on delivering additional value for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controlling interest and majority shares of GAMEE is a defining moment for Alpha Compute. GAMEE is not simply a gaming platform</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it is a fully realized digital economy with over 100 million participants, a world-class founding team, and infrastructure that is purpose-built for the AI era. Integrating GAMEE into our ecosystem accelerates our strategy of building the compute and platform layer that powers the next generation of AI applications. We are proud to welcome the GAMEE team and community into the Alpha Compute family, and we look forward to building something remarkable together." — Enzo Villani, Executive Chairman &amp; Chief Investment Officer, Alpha Compute Corp.</w:t>
      </w:r>
    </w:p>
    <w:p>
      <w:pPr>
        <w:spacing w:after="0" w:line="148" w:lineRule="exact"/>
        <w:rPr>
          <w:sz w:val="20"/>
          <w:szCs w:val="20"/>
          <w:color w:val="auto"/>
        </w:rPr>
      </w:pPr>
    </w:p>
    <w:p>
      <w:pPr>
        <w:ind w:right="200"/>
        <w:spacing w:after="0" w:line="231" w:lineRule="exact"/>
        <w:rPr>
          <w:sz w:val="20"/>
          <w:szCs w:val="20"/>
          <w:color w:val="auto"/>
        </w:rPr>
      </w:pPr>
      <w:r>
        <w:rPr>
          <w:rFonts w:ascii="Times New Roman" w:cs="Times New Roman" w:eastAsia="Times New Roman" w:hAnsi="Times New Roman"/>
          <w:sz w:val="18"/>
          <w:szCs w:val="18"/>
          <w:color w:val="auto"/>
        </w:rPr>
        <w:t>"GAMEE has established itself as a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gaming environment serving millions of users within Telegram. This long-standing partnership highlights GAMEE as a powerful simulation layer where AI, compute and interactive play all intersect. Gaming has always been a primary driver for breakthroughs in AI technology—as pioneers like NVIDIA have demonstrated—and we believe GAMEE and Alpha Compute will help write the next chapter in delivering scalable infrastructure for Sovereign AI.” — Yat Siu, Co-Founder &amp; Executive Chairman, Animoca Brands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acquisition is a powerful signal that the principles of digital ownership, data rights, and user empowerment are not just ideals — they are the foundation of the next wave of technology value creation. Alpha Compute has demonstrated a genuine commitment to building platforms that respect users' rights and put real economic power in their hands. I am proud to see GAMEE continue its mission under this new chapter, and excited by what the future holds for Alpha Games." — Brittany Kaiser, Chief Executive Officer, Alpha Compute Corp.</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"Building GAMEE from the ground up, we always believed that gaming could be a gateway to genuine digital empowerment. Watching this vision find its next home with Alpha Compute is deeply gratifying. The team at Alpha Compute understands what makes GAMEE special — the community, the technology, and the commitment to real player ownership — and we are confident they will carry that forward with the ambition and resources it deserves. This is a proud day for everyone who has been part of GAMEE's journey." — Bozena Rezab, Co-Founder, GAMEE, Executive Vice President, Alpha Games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day one, GAMEE was built on a simple but powerful belief: that rewarding players for their skill, effort, and loyalty — and bringing the value of AI to mainstream gaming — is how you build something that truly lasts. That belief has always meant that the future of gaming is inseparable from the future of digital ownership and open technology. Alpha Compute's acquisition brings that future into sharper focus. Their infrastructure capabilities and strategic vision create the conditions for GAMEE to scale in ways that were simply not possible before. I speak for the entire GAMEE team when I say that we are excited for what comes next, and grateful to everyone in our community who made this moment possible." — Martin Zakovec, CEO, GAMEE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GAMEE</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GAMEE is a mobile-first gaming platform focused on onboarding a mass gaming audience. It has over 120 million registered users and has served over 10 billion gameplay sessions across multiple ecosystems. GAMEE has onboarded 4 million users into the Telegram ecosystem. The company has partnered with over 40 major communities including Azuki, Mocaverse, Notcoin, The Sandbox, and Cool Cats. Learn more at </w:t>
      </w:r>
      <w:r>
        <w:rPr>
          <w:rFonts w:ascii="Times New Roman" w:cs="Times New Roman" w:eastAsia="Times New Roman" w:hAnsi="Times New Roman"/>
          <w:sz w:val="18"/>
          <w:szCs w:val="18"/>
          <w:u w:val="single" w:color="auto"/>
          <w:color w:val="auto"/>
        </w:rPr>
        <w:t>www.gamee.com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ANIMOCA BRANDS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Animoca Brands Corporation Limited (ACN: 122 921 813) is a global digital leader building and investing in impactful technologies and ecosystems to reimagine future economies through AI and the agentic web. It has received broad industry and market recognition Financial Times’ High Growth Companies Asia-Pacific and Deloitte Tech Fast. Animoca Brands is recognized for building digital platforms such as the Moca Network, Open Campus, Anichess, and The Sandbox, as well as institutional-grade platforms; providing digital services to help companies launch and grow; and investing in frontier technology, with a portfolio of over 600 companies. For more information visit </w:t>
      </w:r>
      <w:r>
        <w:rPr>
          <w:rFonts w:ascii="Times New Roman" w:cs="Times New Roman" w:eastAsia="Times New Roman" w:hAnsi="Times New Roman"/>
          <w:sz w:val="18"/>
          <w:szCs w:val="18"/>
          <w:u w:val="single" w:color="auto"/>
          <w:color w:val="auto"/>
        </w:rPr>
        <w:t>www.animocabrands.com</w:t>
      </w:r>
      <w:r>
        <w:rPr>
          <w:rFonts w:ascii="Times New Roman" w:cs="Times New Roman" w:eastAsia="Times New Roman" w:hAnsi="Times New Roman"/>
          <w:sz w:val="18"/>
          <w:szCs w:val="18"/>
          <w:color w:val="auto"/>
        </w:rPr>
        <w:t xml:space="preserve"> or follow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TikTok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ALPHA COMPUTE CORP.</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Alpha Compute Corp. (Nasdaq: ALP) is a pioneering leader in AI GPU-as-a-service (GPUaaS) and AI Confidential Compute. Alpha Compute builds and operates businesses at the intersection of confidential computing, artificial intelligence, and AI. The Company’s GPU assets deliver privacy-preserving computation to partners and applications including Telegram, Animoca Brands, GAMEE, and Midnight Network. Alpha Compute is incorporated in the British Virgin Islands.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https://www.alphacompute.ai/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ectPr>
          <w:pgSz w:w="11900" w:h="16838" w:orient="portrait"/>
          <w:cols w:equalWidth="0" w:num="1">
            <w:col w:w="11240"/>
          </w:cols>
          <w:pgMar w:left="320" w:top="121" w:right="339" w:bottom="73" w:gutter="0" w:footer="0" w:header="0"/>
        </w:sectPr>
      </w:pPr>
    </w:p>
    <w:bookmarkStart w:id="102" w:name="page103"/>
    <w:bookmarkEnd w:id="102"/>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securities laws. All statements other than statements of historical fact, including those preceded by, followed by, or incorporating words such as "believes," "expects," "anticipates," "intends," "estimates," "plans," "may," "will," "potential," "continues," or similar expressions are forward-looking statements.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release include, without limitation: the expected timing and go-live dates for Alpha Compute's GPU cluster deployments; projected revenue from the Company's AI infrastructure buildout; anticipated benefits from the Company's confidential compute partnerships and infrastructure expansion; and the Company's broader business strategy and operational plans.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statements involve known and unknown risks and uncertainties that may cause actual results to differ materially from those expressed or implied, including: the timing and progress of the Company's strategic initiatives; reliance on third-party vendors and partners; the ability to secure additional financing; uncertainty around the Company's investments and legacy business; risks related to technology platforms and ecosystems; and general market and economic conditions. A more complete discussion of these risks is set forth under "Item 3 - Key Information - Risk Factors" in the Company's Annual Report on Form 20-F for the year ended March 31, 2025, and in the Company's Forms 6-K filed with the Securities and Exchange Commission on September 3, 2025 and January 13, 2026.</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Undue reliance should not be placed on these forward-looking statements. The forward-looking statements contained herein are made as of the date of this press release, and the Company undertakes no obligation to update or revise them publicly,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Compute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ir@alphacompute.ai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www.alphacompute.ai</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1."/>
      <w:numFmt w:val="upperLetter"/>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lowerLetter"/>
      <w:start w:val="1"/>
    </w:lvl>
  </w:abstractNum>
  <w:abstractNum w:abstractNumId="4">
    <w:nsid w:val="23F9C13C"/>
    <w:multiLevelType w:val="hybridMultilevel"/>
    <w:lvl w:ilvl="0">
      <w:lvlJc w:val="left"/>
      <w:lvlText w:val="(%1)"/>
      <w:numFmt w:val="lowerRoman"/>
      <w:start w:val="3"/>
    </w:lvl>
  </w:abstractNum>
  <w:abstractNum w:abstractNumId="5">
    <w:nsid w:val="649BB77C"/>
    <w:multiLevelType w:val="hybridMultilevel"/>
    <w:lvl w:ilvl="0">
      <w:lvlJc w:val="left"/>
      <w:lvlText w:val="%1."/>
      <w:numFmt w:val="decimal"/>
      <w:start w:val="2"/>
    </w:lvl>
  </w:abstractNum>
  <w:abstractNum w:abstractNumId="6">
    <w:nsid w:val="275AC794"/>
    <w:multiLevelType w:val="hybridMultilevel"/>
    <w:lvl w:ilvl="0">
      <w:lvlJc w:val="left"/>
      <w:lvlText w:val="(%1)"/>
      <w:numFmt w:val="lowerLetter"/>
      <w:start w:val="1"/>
    </w:lvl>
  </w:abstractNum>
  <w:abstractNum w:abstractNumId="7">
    <w:nsid w:val="39386575"/>
    <w:multiLevelType w:val="hybridMultilevel"/>
    <w:lvl w:ilvl="0">
      <w:lvlJc w:val="left"/>
      <w:lvlText w:val="%1."/>
      <w:numFmt w:val="decimal"/>
      <w:start w:val="3"/>
    </w:lvl>
  </w:abstractNum>
  <w:abstractNum w:abstractNumId="8">
    <w:nsid w:val="1CF10FD8"/>
    <w:multiLevelType w:val="hybridMultilevel"/>
    <w:lvl w:ilvl="0">
      <w:lvlJc w:val="left"/>
      <w:lvlText w:val="(%1)"/>
      <w:numFmt w:val="lowerLetter"/>
      <w:start w:val="1"/>
    </w:lvl>
  </w:abstractNum>
  <w:abstractNum w:abstractNumId="9">
    <w:nsid w:val="180115BE"/>
    <w:multiLevelType w:val="hybridMultilevel"/>
    <w:lvl w:ilvl="0">
      <w:lvlJc w:val="left"/>
      <w:lvlText w:val="%1."/>
      <w:numFmt w:val="decimal"/>
      <w:start w:val="4"/>
    </w:lvl>
  </w:abstractNum>
  <w:abstractNum w:abstractNumId="10">
    <w:nsid w:val="235BA861"/>
    <w:multiLevelType w:val="hybridMultilevel"/>
    <w:lvl w:ilvl="0">
      <w:lvlJc w:val="left"/>
      <w:lvlText w:val="(%1)"/>
      <w:numFmt w:val="lowerLetter"/>
      <w:start w:val="1"/>
    </w:lvl>
  </w:abstractNum>
  <w:abstractNum w:abstractNumId="11">
    <w:nsid w:val="47398C89"/>
    <w:multiLevelType w:val="hybridMultilevel"/>
    <w:lvl w:ilvl="0">
      <w:lvlJc w:val="left"/>
      <w:lvlText w:val="%1."/>
      <w:numFmt w:val="decimal"/>
      <w:start w:val="5"/>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1."/>
      <w:numFmt w:val="decimal"/>
      <w:start w:val="6"/>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1."/>
      <w:numFmt w:val="decimal"/>
      <w:start w:val="7"/>
    </w:lvl>
  </w:abstractNum>
  <w:abstractNum w:abstractNumId="16">
    <w:nsid w:val="10233C99"/>
    <w:multiLevelType w:val="hybridMultilevel"/>
    <w:lvl w:ilvl="0">
      <w:lvlJc w:val="left"/>
      <w:lvlText w:val="(%1)"/>
      <w:numFmt w:val="lowerLetter"/>
      <w:start w:val="1"/>
    </w:lvl>
  </w:abstractNum>
  <w:abstractNum w:abstractNumId="17">
    <w:nsid w:val="3F6AB60F"/>
    <w:multiLevelType w:val="hybridMultilevel"/>
    <w:lvl w:ilvl="0">
      <w:lvlJc w:val="left"/>
      <w:lvlText w:val="%1."/>
      <w:numFmt w:val="decimal"/>
      <w:start w:val="8"/>
    </w:lvl>
  </w:abstractNum>
  <w:abstractNum w:abstractNumId="18">
    <w:nsid w:val="61574095"/>
    <w:multiLevelType w:val="hybridMultilevel"/>
    <w:lvl w:ilvl="0">
      <w:lvlJc w:val="left"/>
      <w:lvlText w:val="%1."/>
      <w:numFmt w:val="decimal"/>
      <w:start w:val="9"/>
    </w:lvl>
  </w:abstractNum>
  <w:abstractNum w:abstractNumId="19">
    <w:nsid w:val="7E0C57B1"/>
    <w:multiLevelType w:val="hybridMultilevel"/>
    <w:lvl w:ilvl="0">
      <w:lvlJc w:val="left"/>
      <w:lvlText w:val="(%1)"/>
      <w:numFmt w:val="lowerLetter"/>
      <w:start w:val="1"/>
    </w:lvl>
  </w:abstractNum>
  <w:abstractNum w:abstractNumId="20">
    <w:nsid w:val="77AE35EB"/>
    <w:multiLevelType w:val="hybridMultilevel"/>
    <w:lvl w:ilvl="0">
      <w:lvlJc w:val="left"/>
      <w:lvlText w:val="(%1)"/>
      <w:numFmt w:val="lowerLetter"/>
      <w:start w:val="2"/>
    </w:lvl>
  </w:abstractNum>
  <w:abstractNum w:abstractNumId="21">
    <w:nsid w:val="579BE4F1"/>
    <w:multiLevelType w:val="hybridMultilevel"/>
    <w:lvl w:ilvl="0">
      <w:lvlJc w:val="left"/>
      <w:lvlText w:val="%1."/>
      <w:numFmt w:val="decimal"/>
      <w:start w:val="10"/>
    </w:lvl>
  </w:abstractNum>
  <w:abstractNum w:abstractNumId="22">
    <w:nsid w:val="310C50B3"/>
    <w:multiLevelType w:val="hybridMultilevel"/>
    <w:lvl w:ilvl="0">
      <w:lvlJc w:val="left"/>
      <w:lvlText w:val="(%1)"/>
      <w:numFmt w:val="lowerLetter"/>
      <w:start w:val="1"/>
    </w:lvl>
  </w:abstractNum>
  <w:abstractNum w:abstractNumId="23">
    <w:nsid w:val="5FF87E05"/>
    <w:multiLevelType w:val="hybridMultilevel"/>
    <w:lvl w:ilvl="0">
      <w:lvlJc w:val="left"/>
      <w:lvlText w:val="%1."/>
      <w:numFmt w:val="decimal"/>
      <w:start w:val="11"/>
    </w:lvl>
  </w:abstractNum>
  <w:abstractNum w:abstractNumId="24">
    <w:nsid w:val="2F305DEF"/>
    <w:multiLevelType w:val="hybridMultilevel"/>
    <w:lvl w:ilvl="0">
      <w:lvlJc w:val="left"/>
      <w:lvlText w:val="%1."/>
      <w:numFmt w:val="decimal"/>
      <w:start w:val="12"/>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decimal"/>
      <w:start w:val="1"/>
    </w:lvl>
    <w:lvl w:ilvl="1">
      <w:lvlJc w:val="left"/>
      <w:lvlText w:val="(%2)"/>
      <w:numFmt w:val="lowerLetter"/>
      <w:start w:val="1"/>
    </w:lvl>
  </w:abstractNum>
  <w:abstractNum w:abstractNumId="27">
    <w:nsid w:val="4AD084E9"/>
    <w:multiLevelType w:val="hybridMultilevel"/>
    <w:lvl w:ilvl="0">
      <w:lvlJc w:val="left"/>
      <w:lvlText w:val="%1."/>
      <w:numFmt w:val="decimal"/>
      <w:start w:val="13"/>
    </w:lvl>
    <w:lvl w:ilvl="1">
      <w:lvlJc w:val="left"/>
      <w:lvlText w:val="%2"/>
      <w:numFmt w:val="lowerLetter"/>
      <w:start w:val="1"/>
    </w:lvl>
  </w:abstractNum>
  <w:abstractNum w:abstractNumId="28">
    <w:nsid w:val="1F48EAA1"/>
    <w:multiLevelType w:val="hybridMultilevel"/>
    <w:lvl w:ilvl="0">
      <w:lvlJc w:val="left"/>
      <w:lvlText w:val="%1."/>
      <w:numFmt w:val="decimal"/>
      <w:start w:val="14"/>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decimal"/>
      <w:start w:val="15"/>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decimal"/>
      <w:start w:val="16"/>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lowerLetter"/>
      <w:start w:val="2"/>
    </w:lvl>
  </w:abstractNum>
  <w:abstractNum w:abstractNumId="35">
    <w:nsid w:val="98A3148"/>
    <w:multiLevelType w:val="hybridMultilevel"/>
    <w:lvl w:ilvl="0">
      <w:lvlJc w:val="left"/>
      <w:lvlText w:val="%1."/>
      <w:numFmt w:val="decimal"/>
      <w:start w:val="17"/>
    </w:lvl>
  </w:abstractNum>
  <w:abstractNum w:abstractNumId="36">
    <w:nsid w:val="799D0247"/>
    <w:multiLevelType w:val="hybridMultilevel"/>
    <w:lvl w:ilvl="0">
      <w:lvlJc w:val="left"/>
      <w:lvlText w:val="(%1)"/>
      <w:numFmt w:val="lowerLetter"/>
      <w:start w:val="1"/>
    </w:lvl>
  </w:abstractNum>
  <w:abstractNum w:abstractNumId="37">
    <w:nsid w:val="6B94764"/>
    <w:multiLevelType w:val="hybridMultilevel"/>
    <w:lvl w:ilvl="0">
      <w:lvlJc w:val="left"/>
      <w:lvlText w:val="%1."/>
      <w:numFmt w:val="decimal"/>
      <w:start w:val="18"/>
    </w:lvl>
  </w:abstractNum>
  <w:abstractNum w:abstractNumId="38">
    <w:nsid w:val="42C296BD"/>
    <w:multiLevelType w:val="hybridMultilevel"/>
    <w:lvl w:ilvl="0">
      <w:lvlJc w:val="left"/>
      <w:lvlText w:val="(%1)"/>
      <w:numFmt w:val="lowerLetter"/>
      <w:start w:val="1"/>
    </w:lvl>
  </w:abstractNum>
  <w:abstractNum w:abstractNumId="39">
    <w:nsid w:val="168E121F"/>
    <w:multiLevelType w:val="hybridMultilevel"/>
    <w:lvl w:ilvl="0">
      <w:lvlJc w:val="left"/>
      <w:lvlText w:val="%1."/>
      <w:numFmt w:val="decimal"/>
      <w:start w:val="19"/>
    </w:lvl>
  </w:abstractNum>
  <w:abstractNum w:abstractNumId="40">
    <w:nsid w:val="1EBA5D23"/>
    <w:multiLevelType w:val="hybridMultilevel"/>
    <w:lvl w:ilvl="0">
      <w:lvlJc w:val="left"/>
      <w:lvlText w:val="%1."/>
      <w:numFmt w:val="decimal"/>
      <w:start w:val="23"/>
    </w:lvl>
  </w:abstractNum>
  <w:abstractNum w:abstractNumId="41">
    <w:nsid w:val="661E3F1E"/>
    <w:multiLevelType w:val="hybridMultilevel"/>
    <w:lvl w:ilvl="0">
      <w:lvlJc w:val="left"/>
      <w:lvlText w:val="%1."/>
      <w:numFmt w:val="decimal"/>
      <w:start w:val="25"/>
    </w:lvl>
  </w:abstractNum>
  <w:abstractNum w:abstractNumId="42">
    <w:nsid w:val="5DC79EA8"/>
    <w:multiLevelType w:val="hybridMultilevel"/>
    <w:lvl w:ilvl="0">
      <w:lvlJc w:val="left"/>
      <w:lvlText w:val="%1."/>
      <w:numFmt w:val="decimal"/>
      <w:start w:val="27"/>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upperLetter"/>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4"/>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6"/>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lowerLetter"/>
      <w:start w:val="1"/>
    </w:lvl>
  </w:abstractNum>
  <w:abstractNum w:abstractNumId="51">
    <w:nsid w:val="8F2B15E"/>
    <w:multiLevelType w:val="hybridMultilevel"/>
    <w:lvl w:ilvl="0">
      <w:lvlJc w:val="left"/>
      <w:lvlText w:val="(%1)"/>
      <w:numFmt w:val="lowerLetter"/>
      <w:start w:val="2"/>
    </w:lvl>
    <w:lvl w:ilvl="1">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lowerLetter"/>
      <w:start w:val="3"/>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1)"/>
      <w:numFmt w:val="lowerLetter"/>
      <w:start w:val="3"/>
    </w:lvl>
  </w:abstractNum>
  <w:abstractNum w:abstractNumId="56">
    <w:nsid w:val="60B6DF70"/>
    <w:multiLevelType w:val="hybridMultilevel"/>
    <w:lvl w:ilvl="0">
      <w:lvlJc w:val="left"/>
      <w:lvlText w:val="(%1)"/>
      <w:numFmt w:val="lowerLetter"/>
      <w:start w:val="5"/>
    </w:lvl>
  </w:abstractNum>
  <w:abstractNum w:abstractNumId="57">
    <w:nsid w:val="6A5EE64"/>
    <w:multiLevelType w:val="hybridMultilevel"/>
    <w:lvl w:ilvl="0">
      <w:lvlJc w:val="left"/>
      <w:lvlText w:val="(%1)"/>
      <w:numFmt w:val="lowerLetter"/>
      <w:start w:val="7"/>
    </w:lvl>
  </w:abstractNum>
  <w:abstractNum w:abstractNumId="58">
    <w:nsid w:val="14330624"/>
    <w:multiLevelType w:val="hybridMultilevel"/>
    <w:lvl w:ilvl="0">
      <w:lvlJc w:val="left"/>
      <w:lvlText w:val="(%1)"/>
      <w:numFmt w:val="lowerLetter"/>
      <w:start w:val="8"/>
    </w:lvl>
  </w:abstractNum>
  <w:abstractNum w:abstractNumId="59">
    <w:nsid w:val="7FFFCA11"/>
    <w:multiLevelType w:val="hybridMultilevel"/>
    <w:lvl w:ilvl="0">
      <w:lvlJc w:val="left"/>
      <w:lvlText w:val="(%1)"/>
      <w:numFmt w:val="lowerRoman"/>
      <w:start w:val="1"/>
    </w:lvl>
    <w:lvl w:ilvl="1">
      <w:lvlJc w:val="left"/>
      <w:lvlText w:val="(%2)"/>
      <w:numFmt w:val="lowerRoman"/>
      <w:start w:val="1"/>
    </w:lvl>
  </w:abstractNum>
  <w:abstractNum w:abstractNumId="60">
    <w:nsid w:val="1A27709E"/>
    <w:multiLevelType w:val="hybridMultilevel"/>
    <w:lvl w:ilvl="0">
      <w:lvlJc w:val="left"/>
      <w:lvlText w:val="(%1)"/>
      <w:numFmt w:val="lowerRoman"/>
      <w:start w:val="1"/>
    </w:lvl>
  </w:abstractNum>
  <w:abstractNum w:abstractNumId="61">
    <w:nsid w:val="71EA1109"/>
    <w:multiLevelType w:val="hybridMultilevel"/>
    <w:lvl w:ilvl="0">
      <w:lvlJc w:val="left"/>
      <w:lvlText w:val="(%1)"/>
      <w:numFmt w:val="lowerRoman"/>
      <w:start w:val="2"/>
    </w:lvl>
  </w:abstractNum>
  <w:abstractNum w:abstractNumId="62">
    <w:nsid w:val="100F59DC"/>
    <w:multiLevelType w:val="hybridMultilevel"/>
    <w:lvl w:ilvl="0">
      <w:lvlJc w:val="left"/>
      <w:lvlText w:val="(%1)"/>
      <w:numFmt w:val="lowerLetter"/>
      <w:start w:val="1"/>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2"/>
    </w:lvl>
  </w:abstractNum>
  <w:abstractNum w:abstractNumId="65">
    <w:nsid w:val="6F6DD9AC"/>
    <w:multiLevelType w:val="hybridMultilevel"/>
    <w:lvl w:ilvl="0">
      <w:lvlJc w:val="left"/>
      <w:lvlText w:val="(%1)"/>
      <w:numFmt w:val="lowerRoman"/>
      <w:start w:val="1"/>
    </w:lvl>
  </w:abstractNum>
  <w:abstractNum w:abstractNumId="66">
    <w:nsid w:val="94211F2"/>
    <w:multiLevelType w:val="hybridMultilevel"/>
    <w:lvl w:ilvl="0">
      <w:lvlJc w:val="left"/>
      <w:lvlText w:val="(%1)"/>
      <w:numFmt w:val="lowerLetter"/>
      <w:start w:val="2"/>
    </w:lvl>
    <w:lvl w:ilvl="1">
      <w:lvlJc w:val="left"/>
      <w:lvlText w:val="(%2)"/>
      <w:numFmt w:val="lowerLetter"/>
      <w:start w:val="35"/>
    </w:lvl>
  </w:abstractNum>
  <w:abstractNum w:abstractNumId="67">
    <w:nsid w:val="885E1B"/>
    <w:multiLevelType w:val="hybridMultilevel"/>
    <w:lvl w:ilvl="0">
      <w:lvlJc w:val="left"/>
      <w:lvlText w:val="(%1)"/>
      <w:numFmt w:val="lowerLetter"/>
      <w:start w:val="2"/>
    </w:lvl>
    <w:lvl w:ilvl="1">
      <w:lvlJc w:val="left"/>
      <w:lvlText w:val="(%2)"/>
      <w:numFmt w:val="lowerLetter"/>
      <w:start w:val="35"/>
    </w:lvl>
  </w:abstractNum>
  <w:abstractNum w:abstractNumId="68">
    <w:nsid w:val="76272110"/>
    <w:multiLevelType w:val="hybridMultilevel"/>
    <w:lvl w:ilvl="0">
      <w:lvlJc w:val="left"/>
      <w:lvlText w:val="(%1)"/>
      <w:numFmt w:val="lowerLetter"/>
      <w:start w:val="2"/>
    </w:lvl>
    <w:lvl w:ilvl="1">
      <w:lvlJc w:val="left"/>
      <w:lvlText w:val="(%2)"/>
      <w:numFmt w:val="lowerLetter"/>
      <w:start w:val="61"/>
    </w:lvl>
  </w:abstractNum>
  <w:abstractNum w:abstractNumId="69">
    <w:nsid w:val="4C04A8AF"/>
    <w:multiLevelType w:val="hybridMultilevel"/>
    <w:lvl w:ilvl="0">
      <w:lvlJc w:val="left"/>
      <w:lvlText w:val="(%1)"/>
      <w:numFmt w:val="lowerLetter"/>
      <w:start w:val="3"/>
    </w:lvl>
    <w:lvl w:ilvl="1">
      <w:lvlJc w:val="left"/>
      <w:lvlText w:val="(%2)"/>
      <w:numFmt w:val="lowerRoman"/>
      <w:start w:val="1"/>
    </w:lvl>
  </w:abstractNum>
  <w:abstractNum w:abstractNumId="70">
    <w:nsid w:val="1716703B"/>
    <w:multiLevelType w:val="hybridMultilevel"/>
    <w:lvl w:ilvl="0">
      <w:lvlJc w:val="left"/>
      <w:lvlText w:val="(%1)"/>
      <w:numFmt w:val="lowerRoman"/>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bullet"/>
      <w:start w:val="1"/>
    </w:lvl>
  </w:abstractNum>
  <w:abstractNum w:abstractNumId="74">
    <w:nsid w:val="68EBC550"/>
    <w:multiLevelType w:val="hybridMultilevel"/>
    <w:lvl w:ilvl="0">
      <w:lvlJc w:val="left"/>
      <w:lvlText w:val="2"/>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77">
    <w:nsid w:val="4A2AC315"/>
    <w:multiLevelType w:val="hybridMultilevel"/>
    <w:lvl w:ilvl="0">
      <w:lvlJc w:val="left"/>
      <w:lvlText w:val="(%1)"/>
      <w:numFmt w:val="lowerLetter"/>
      <w:start w:val="2"/>
    </w:lvl>
    <w:lvl w:ilvl="1">
      <w:lvlJc w:val="left"/>
      <w:lvlText w:val="(%2)"/>
      <w:numFmt w:val="lowerRoman"/>
      <w:start w:val="1"/>
    </w:lvl>
  </w:abstractNum>
  <w:abstractNum w:abstractNumId="78">
    <w:nsid w:val="39EE015C"/>
    <w:multiLevelType w:val="hybridMultilevel"/>
    <w:lvl w:ilvl="0">
      <w:lvlJc w:val="left"/>
      <w:lvlText w:val="%1."/>
      <w:numFmt w:val="decimal"/>
      <w:start w:val="5"/>
    </w:lvl>
  </w:abstractNum>
  <w:abstractNum w:abstractNumId="79">
    <w:nsid w:val="57FC4FBB"/>
    <w:multiLevelType w:val="hybridMultilevel"/>
    <w:lvl w:ilvl="0">
      <w:lvlJc w:val="left"/>
      <w:lvlText w:val="%1."/>
      <w:numFmt w:val="decimal"/>
      <w:start w:val="7"/>
    </w:lvl>
  </w:abstractNum>
  <w:abstractNum w:abstractNumId="80">
    <w:nsid w:val="CC1016F"/>
    <w:multiLevelType w:val="hybridMultilevel"/>
    <w:lvl w:ilvl="0">
      <w:lvlJc w:val="left"/>
      <w:lvlText w:val="%1."/>
      <w:numFmt w:val="decimal"/>
      <w:start w:val="12"/>
    </w:lvl>
  </w:abstractNum>
  <w:abstractNum w:abstractNumId="81">
    <w:nsid w:val="43F18422"/>
    <w:multiLevelType w:val="hybridMultilevel"/>
    <w:lvl w:ilvl="0">
      <w:lvlJc w:val="left"/>
      <w:lvlText w:val="%1."/>
      <w:numFmt w:val="decimal"/>
      <w:start w:val="13"/>
    </w:lvl>
  </w:abstractNum>
  <w:abstractNum w:abstractNumId="82">
    <w:nsid w:val="60EF0119"/>
    <w:multiLevelType w:val="hybridMultilevel"/>
    <w:lvl w:ilvl="0">
      <w:lvlJc w:val="left"/>
      <w:lvlText w:val="%1."/>
      <w:numFmt w:val="decimal"/>
      <w:start w:val="14"/>
    </w:lvl>
  </w:abstractNum>
  <w:abstractNum w:abstractNumId="83">
    <w:nsid w:val="26F324BA"/>
    <w:multiLevelType w:val="hybridMultilevel"/>
    <w:lvl w:ilvl="0">
      <w:lvlJc w:val="left"/>
      <w:lvlText w:val="%1."/>
      <w:numFmt w:val="decimal"/>
      <w:start w:val="15"/>
    </w:lvl>
  </w:abstractNum>
  <w:abstractNum w:abstractNumId="84">
    <w:nsid w:val="7F01579B"/>
    <w:multiLevelType w:val="hybridMultilevel"/>
    <w:lvl w:ilvl="0">
      <w:lvlJc w:val="left"/>
      <w:lvlText w:val="(%1)"/>
      <w:numFmt w:val="lowerRoman"/>
      <w:start w:val="1"/>
    </w:lvl>
  </w:abstractNum>
  <w:abstractNum w:abstractNumId="85">
    <w:nsid w:val="49DA307D"/>
    <w:multiLevelType w:val="hybridMultilevel"/>
    <w:lvl w:ilvl="0">
      <w:lvlJc w:val="left"/>
      <w:lvlText w:val="%1."/>
      <w:numFmt w:val="decimal"/>
      <w:start w:val="16"/>
    </w:lvl>
  </w:abstractNum>
  <w:abstractNum w:abstractNumId="86">
    <w:nsid w:val="7055A5F5"/>
    <w:multiLevelType w:val="hybridMultilevel"/>
    <w:lvl w:ilvl="0">
      <w:lvlJc w:val="left"/>
      <w:lvlText w:val="%1."/>
      <w:numFmt w:val="decimal"/>
      <w:start w:val="16"/>
    </w:lvl>
  </w:abstractNum>
  <w:abstractNum w:abstractNumId="87">
    <w:nsid w:val="5FB8370B"/>
    <w:multiLevelType w:val="hybridMultilevel"/>
    <w:lvl w:ilvl="0">
      <w:lvlJc w:val="left"/>
      <w:lvlText w:val="%1."/>
      <w:numFmt w:val="decimal"/>
      <w:start w:val="17"/>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bullet"/>
      <w:start w:val="1"/>
    </w:lvl>
  </w:abstractNum>
  <w:abstractNum w:abstractNumId="91">
    <w:nsid w:val="6AA78F7F"/>
    <w:multiLevelType w:val="hybridMultilevel"/>
    <w:lvl w:ilvl="0">
      <w:lvlJc w:val="left"/>
      <w:lvlText w:val="2"/>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94">
    <w:nsid w:val="6A5F7029"/>
    <w:multiLevelType w:val="hybridMultilevel"/>
    <w:lvl w:ilvl="0">
      <w:lvlJc w:val="left"/>
      <w:lvlText w:val="(%1)"/>
      <w:numFmt w:val="lowerLetter"/>
      <w:start w:val="2"/>
    </w:lvl>
    <w:lvl w:ilvl="1">
      <w:lvlJc w:val="left"/>
      <w:lvlText w:val="(%2)"/>
      <w:numFmt w:val="lowerRoman"/>
      <w:start w:val="1"/>
    </w:lvl>
  </w:abstractNum>
  <w:abstractNum w:abstractNumId="95">
    <w:nsid w:val="7D5E18F8"/>
    <w:multiLevelType w:val="hybridMultilevel"/>
    <w:lvl w:ilvl="0">
      <w:lvlJc w:val="left"/>
      <w:lvlText w:val="%1."/>
      <w:numFmt w:val="decimal"/>
      <w:start w:val="7"/>
    </w:lvl>
  </w:abstractNum>
  <w:abstractNum w:abstractNumId="96">
    <w:nsid w:val="5F3534A4"/>
    <w:multiLevelType w:val="hybridMultilevel"/>
    <w:lvl w:ilvl="0">
      <w:lvlJc w:val="left"/>
      <w:lvlText w:val="%1."/>
      <w:numFmt w:val="decimal"/>
      <w:start w:val="7"/>
    </w:lvl>
  </w:abstractNum>
  <w:abstractNum w:abstractNumId="97">
    <w:nsid w:val="73A1821B"/>
    <w:multiLevelType w:val="hybridMultilevel"/>
    <w:lvl w:ilvl="0">
      <w:lvlJc w:val="left"/>
      <w:lvlText w:val="%1."/>
      <w:numFmt w:val="decimal"/>
      <w:start w:val="11"/>
    </w:lvl>
  </w:abstractNum>
  <w:abstractNum w:abstractNumId="98">
    <w:nsid w:val="7DE67713"/>
    <w:multiLevelType w:val="hybridMultilevel"/>
    <w:lvl w:ilvl="0">
      <w:lvlJc w:val="left"/>
      <w:lvlText w:val="%1."/>
      <w:numFmt w:val="decimal"/>
      <w:start w:val="12"/>
    </w:lvl>
  </w:abstractNum>
  <w:abstractNum w:abstractNumId="99">
    <w:nsid w:val="555C55B5"/>
    <w:multiLevelType w:val="hybridMultilevel"/>
    <w:lvl w:ilvl="0">
      <w:lvlJc w:val="left"/>
      <w:lvlText w:val="(%1)"/>
      <w:numFmt w:val="lowerRoman"/>
      <w:start w:val="1"/>
    </w:lvl>
  </w:abstractNum>
  <w:abstractNum w:abstractNumId="100">
    <w:nsid w:val="3FA62ACA"/>
    <w:multiLevelType w:val="hybridMultilevel"/>
    <w:lvl w:ilvl="0">
      <w:lvlJc w:val="left"/>
      <w:lvlText w:val="%1."/>
      <w:numFmt w:val="decimal"/>
      <w:start w:val="16"/>
    </w:lvl>
  </w:abstractNum>
  <w:abstractNum w:abstractNumId="101">
    <w:nsid w:val="14FCE74E"/>
    <w:multiLevelType w:val="hybridMultilevel"/>
    <w:lvl w:ilvl="0">
      <w:lvlJc w:val="left"/>
      <w:lvlText w:val="%1."/>
      <w:numFmt w:val="decimal"/>
      <w:start w:val="16"/>
    </w:lvl>
  </w:abstractNum>
  <w:abstractNum w:abstractNumId="102">
    <w:nsid w:val="6A3DD3E8"/>
    <w:multiLevelType w:val="hybridMultilevel"/>
    <w:lvl w:ilvl="0">
      <w:lvlJc w:val="left"/>
      <w:lvlText w:val="%1."/>
      <w:numFmt w:val="decimal"/>
      <w:start w:val="17"/>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4" Type="http://schemas.openxmlformats.org/officeDocument/2006/relationships/hyperlink" Target="https://www.sec.gov/Archives/edgar/data/1095435/000117184326001823/exh_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2026-05-27T12:52:59Z</dcterms:created>
  <dcterms:modified xsi:type="dcterms:W3CDTF">2026-05-27T12:52:59Z</dcterms:modified>
</cp:coreProperties>
</file>